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ink/ink1.xml" ContentType="application/inkml+xml"/>
  <Override PartName="/word/ink/ink2.xml" ContentType="application/inkml+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0822" w14:textId="77777777" w:rsidR="002C70FF" w:rsidRPr="00DA2C45" w:rsidRDefault="002C70FF" w:rsidP="009B360E"/>
    <w:p w14:paraId="31B60823" w14:textId="77777777" w:rsidR="002C70FF" w:rsidRDefault="002C70FF" w:rsidP="009B360E"/>
    <w:p w14:paraId="31B60824" w14:textId="77777777" w:rsidR="002C70FF" w:rsidRDefault="002C70FF" w:rsidP="009B360E"/>
    <w:p w14:paraId="31B60825" w14:textId="77777777" w:rsidR="002C70FF" w:rsidRDefault="002C70FF" w:rsidP="009B360E"/>
    <w:p w14:paraId="31B60826" w14:textId="77777777" w:rsidR="002C70FF" w:rsidRDefault="002C70FF" w:rsidP="009B360E"/>
    <w:p w14:paraId="31B60827" w14:textId="77777777" w:rsidR="002C70FF" w:rsidRDefault="002C70FF" w:rsidP="009B360E"/>
    <w:p w14:paraId="31B60828" w14:textId="77777777" w:rsidR="002C70FF" w:rsidRDefault="002C70FF" w:rsidP="009B360E"/>
    <w:p w14:paraId="31B60829" w14:textId="34C32741" w:rsidR="002C70FF" w:rsidRPr="00DA2C45" w:rsidRDefault="007A176D" w:rsidP="00DA2C45">
      <w:pPr>
        <w:spacing w:before="240" w:after="240"/>
        <w:jc w:val="center"/>
        <w:rPr>
          <w:b/>
          <w:bCs/>
          <w:sz w:val="36"/>
          <w:szCs w:val="36"/>
        </w:rPr>
      </w:pPr>
      <w:r w:rsidRPr="00DA2C45">
        <w:rPr>
          <w:b/>
          <w:bCs/>
          <w:sz w:val="36"/>
          <w:szCs w:val="36"/>
        </w:rPr>
        <w:t>ΕΠΙΚΑΙΡΟΠΟΙΗΜΕΝΟ</w:t>
      </w:r>
    </w:p>
    <w:p w14:paraId="31B6082A" w14:textId="77777777" w:rsidR="002C70FF" w:rsidRPr="00A1423E" w:rsidRDefault="002C70FF" w:rsidP="00261531">
      <w:pPr>
        <w:spacing w:before="240" w:after="240"/>
        <w:jc w:val="center"/>
        <w:rPr>
          <w:b/>
          <w:bCs/>
          <w:sz w:val="36"/>
          <w:szCs w:val="36"/>
        </w:rPr>
      </w:pPr>
      <w:r w:rsidRPr="00A1423E">
        <w:rPr>
          <w:b/>
          <w:bCs/>
          <w:sz w:val="36"/>
          <w:szCs w:val="36"/>
        </w:rPr>
        <w:t>Σχέ</w:t>
      </w:r>
      <w:r>
        <w:rPr>
          <w:b/>
          <w:bCs/>
          <w:sz w:val="36"/>
          <w:szCs w:val="36"/>
        </w:rPr>
        <w:t>διο Δράσης για την Καταπολέμηση</w:t>
      </w:r>
      <w:r w:rsidRPr="00A1423E">
        <w:rPr>
          <w:b/>
          <w:bCs/>
          <w:sz w:val="36"/>
          <w:szCs w:val="36"/>
        </w:rPr>
        <w:t xml:space="preserve"> της Ενεργειακής Ένδειας</w:t>
      </w:r>
    </w:p>
    <w:p w14:paraId="31B6082B" w14:textId="77777777" w:rsidR="002C70FF" w:rsidRDefault="002C70FF" w:rsidP="009B360E"/>
    <w:p w14:paraId="31B6082C" w14:textId="77777777" w:rsidR="002C70FF" w:rsidRDefault="002C70FF" w:rsidP="009B360E"/>
    <w:p w14:paraId="31B6082D" w14:textId="77777777" w:rsidR="002C70FF" w:rsidRDefault="002C70FF" w:rsidP="009B360E"/>
    <w:p w14:paraId="31B6082E" w14:textId="77777777" w:rsidR="002C70FF" w:rsidRDefault="002C70FF" w:rsidP="009B360E"/>
    <w:p w14:paraId="31B6082F" w14:textId="77777777" w:rsidR="002C70FF" w:rsidRDefault="002C70FF" w:rsidP="009B360E"/>
    <w:p w14:paraId="31B60830" w14:textId="77777777" w:rsidR="002C70FF" w:rsidRDefault="002C70FF" w:rsidP="009B360E"/>
    <w:p w14:paraId="31B60831" w14:textId="77777777" w:rsidR="002C70FF" w:rsidRDefault="002C70FF" w:rsidP="009B360E"/>
    <w:p w14:paraId="31B60832" w14:textId="77777777" w:rsidR="002C70FF" w:rsidRDefault="002C70FF" w:rsidP="009B360E"/>
    <w:p w14:paraId="31B60833" w14:textId="77777777" w:rsidR="002C70FF" w:rsidRDefault="002C70FF" w:rsidP="009B360E"/>
    <w:p w14:paraId="31B60834" w14:textId="583BB23F" w:rsidR="002C70FF" w:rsidRPr="007C45E6" w:rsidRDefault="0004459C" w:rsidP="009B360E">
      <w:pPr>
        <w:jc w:val="right"/>
        <w:rPr>
          <w:b/>
          <w:bCs/>
          <w:sz w:val="24"/>
          <w:szCs w:val="24"/>
          <w:lang w:val="en-US"/>
        </w:rPr>
      </w:pPr>
      <w:r>
        <w:rPr>
          <w:b/>
          <w:bCs/>
          <w:sz w:val="24"/>
          <w:szCs w:val="24"/>
        </w:rPr>
        <w:t>Νοέμβριος</w:t>
      </w:r>
      <w:r w:rsidR="00AC1EDC" w:rsidRPr="005E62F8">
        <w:rPr>
          <w:b/>
          <w:bCs/>
          <w:sz w:val="24"/>
          <w:szCs w:val="24"/>
        </w:rPr>
        <w:t xml:space="preserve"> </w:t>
      </w:r>
      <w:r w:rsidR="00430C09" w:rsidRPr="005E62F8">
        <w:rPr>
          <w:b/>
          <w:bCs/>
          <w:sz w:val="24"/>
          <w:szCs w:val="24"/>
        </w:rPr>
        <w:t>202</w:t>
      </w:r>
      <w:r w:rsidR="007C45E6" w:rsidRPr="005E62F8">
        <w:rPr>
          <w:b/>
          <w:bCs/>
          <w:sz w:val="24"/>
          <w:szCs w:val="24"/>
          <w:lang w:val="en-US"/>
        </w:rPr>
        <w:t>5</w:t>
      </w:r>
    </w:p>
    <w:p w14:paraId="31B60835" w14:textId="77777777" w:rsidR="002C70FF" w:rsidRDefault="002C70FF" w:rsidP="009B360E"/>
    <w:p w14:paraId="31B60836" w14:textId="77777777" w:rsidR="002C70FF" w:rsidRDefault="002C70FF" w:rsidP="009B360E"/>
    <w:p w14:paraId="31B60837" w14:textId="77777777" w:rsidR="002C70FF" w:rsidRPr="009B360E" w:rsidRDefault="002C70FF" w:rsidP="009B360E">
      <w:pPr>
        <w:sectPr w:rsidR="002C70FF" w:rsidRPr="009B360E" w:rsidSect="005767F0">
          <w:footerReference w:type="default" r:id="rId8"/>
          <w:pgSz w:w="11906" w:h="16838"/>
          <w:pgMar w:top="1440" w:right="1558" w:bottom="1440" w:left="1800" w:header="708" w:footer="708" w:gutter="0"/>
          <w:cols w:space="708"/>
          <w:titlePg/>
          <w:docGrid w:linePitch="360"/>
        </w:sectPr>
      </w:pPr>
    </w:p>
    <w:p w14:paraId="31B60838" w14:textId="77777777" w:rsidR="002C70FF" w:rsidRPr="009B360E" w:rsidRDefault="002C70FF">
      <w:pPr>
        <w:pStyle w:val="a3"/>
        <w:rPr>
          <w:rFonts w:ascii="Calibri" w:hAnsi="Calibri" w:cs="Calibri"/>
          <w:color w:val="002060"/>
          <w:lang w:val="en-US"/>
        </w:rPr>
      </w:pPr>
      <w:r w:rsidRPr="009B360E">
        <w:rPr>
          <w:rFonts w:ascii="Calibri" w:hAnsi="Calibri" w:cs="Calibri"/>
          <w:color w:val="002060"/>
        </w:rPr>
        <w:lastRenderedPageBreak/>
        <w:t>Περιεχόμενα</w:t>
      </w:r>
    </w:p>
    <w:p w14:paraId="31B60839" w14:textId="77777777" w:rsidR="002C70FF" w:rsidRPr="009B360E" w:rsidRDefault="002C70FF" w:rsidP="009B360E">
      <w:pPr>
        <w:rPr>
          <w:lang w:val="en-US" w:eastAsia="el-GR"/>
        </w:rPr>
      </w:pPr>
    </w:p>
    <w:p w14:paraId="62D09658" w14:textId="28E7F5DB" w:rsidR="00C050DE" w:rsidRDefault="007D1663">
      <w:pPr>
        <w:pStyle w:val="10"/>
        <w:tabs>
          <w:tab w:val="right" w:leader="dot" w:pos="8538"/>
        </w:tabs>
        <w:rPr>
          <w:rFonts w:asciiTheme="minorHAnsi" w:eastAsiaTheme="minorEastAsia" w:hAnsiTheme="minorHAnsi" w:cstheme="minorBidi"/>
          <w:noProof/>
          <w:kern w:val="2"/>
          <w:sz w:val="24"/>
          <w:szCs w:val="24"/>
          <w:lang w:eastAsia="el-GR"/>
          <w14:ligatures w14:val="standardContextual"/>
        </w:rPr>
      </w:pPr>
      <w:r w:rsidRPr="002C1089">
        <w:rPr>
          <w:b/>
          <w:bCs/>
        </w:rPr>
        <w:fldChar w:fldCharType="begin"/>
      </w:r>
      <w:r w:rsidR="002C70FF" w:rsidRPr="002C1089">
        <w:rPr>
          <w:b/>
          <w:bCs/>
        </w:rPr>
        <w:instrText xml:space="preserve"> TOC \o "1-3" \h \z \u </w:instrText>
      </w:r>
      <w:r w:rsidRPr="002C1089">
        <w:rPr>
          <w:b/>
          <w:bCs/>
        </w:rPr>
        <w:fldChar w:fldCharType="separate"/>
      </w:r>
      <w:hyperlink w:anchor="_Toc214271388" w:history="1">
        <w:r w:rsidR="00C050DE" w:rsidRPr="00C24DE4">
          <w:rPr>
            <w:rStyle w:val="-"/>
            <w:rFonts w:cs="Calibri"/>
            <w:noProof/>
          </w:rPr>
          <w:t>Πρόλογος</w:t>
        </w:r>
        <w:r w:rsidR="00C050DE">
          <w:rPr>
            <w:noProof/>
            <w:webHidden/>
          </w:rPr>
          <w:tab/>
        </w:r>
        <w:r w:rsidR="00C050DE">
          <w:rPr>
            <w:noProof/>
            <w:webHidden/>
          </w:rPr>
          <w:fldChar w:fldCharType="begin"/>
        </w:r>
        <w:r w:rsidR="00C050DE">
          <w:rPr>
            <w:noProof/>
            <w:webHidden/>
          </w:rPr>
          <w:instrText xml:space="preserve"> PAGEREF _Toc214271388 \h </w:instrText>
        </w:r>
        <w:r w:rsidR="00C050DE">
          <w:rPr>
            <w:noProof/>
            <w:webHidden/>
          </w:rPr>
        </w:r>
        <w:r w:rsidR="00C050DE">
          <w:rPr>
            <w:noProof/>
            <w:webHidden/>
          </w:rPr>
          <w:fldChar w:fldCharType="separate"/>
        </w:r>
        <w:r w:rsidR="00C050DE">
          <w:rPr>
            <w:noProof/>
            <w:webHidden/>
          </w:rPr>
          <w:t>3</w:t>
        </w:r>
        <w:r w:rsidR="00C050DE">
          <w:rPr>
            <w:noProof/>
            <w:webHidden/>
          </w:rPr>
          <w:fldChar w:fldCharType="end"/>
        </w:r>
      </w:hyperlink>
    </w:p>
    <w:p w14:paraId="7724AA0C" w14:textId="65AEF4EE" w:rsidR="00C050DE" w:rsidRDefault="00C050DE">
      <w:pPr>
        <w:pStyle w:val="10"/>
        <w:tabs>
          <w:tab w:val="left" w:pos="44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89" w:history="1">
        <w:r w:rsidRPr="00C24DE4">
          <w:rPr>
            <w:rStyle w:val="-"/>
            <w:noProof/>
          </w:rPr>
          <w:t>1.</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Γενικό πλαίσιο και στόχοι Σχεδίου Δράσης</w:t>
        </w:r>
        <w:r>
          <w:rPr>
            <w:noProof/>
            <w:webHidden/>
          </w:rPr>
          <w:tab/>
        </w:r>
        <w:r>
          <w:rPr>
            <w:noProof/>
            <w:webHidden/>
          </w:rPr>
          <w:fldChar w:fldCharType="begin"/>
        </w:r>
        <w:r>
          <w:rPr>
            <w:noProof/>
            <w:webHidden/>
          </w:rPr>
          <w:instrText xml:space="preserve"> PAGEREF _Toc214271389 \h </w:instrText>
        </w:r>
        <w:r>
          <w:rPr>
            <w:noProof/>
            <w:webHidden/>
          </w:rPr>
        </w:r>
        <w:r>
          <w:rPr>
            <w:noProof/>
            <w:webHidden/>
          </w:rPr>
          <w:fldChar w:fldCharType="separate"/>
        </w:r>
        <w:r>
          <w:rPr>
            <w:noProof/>
            <w:webHidden/>
          </w:rPr>
          <w:t>4</w:t>
        </w:r>
        <w:r>
          <w:rPr>
            <w:noProof/>
            <w:webHidden/>
          </w:rPr>
          <w:fldChar w:fldCharType="end"/>
        </w:r>
      </w:hyperlink>
    </w:p>
    <w:p w14:paraId="549C86C5" w14:textId="3F9A9810"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0" w:history="1">
        <w:r w:rsidRPr="00C24DE4">
          <w:rPr>
            <w:rStyle w:val="-"/>
            <w:noProof/>
          </w:rPr>
          <w:t>1.1.</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Ευρωπαϊκό πλαίσιο πολιτικής</w:t>
        </w:r>
        <w:r>
          <w:rPr>
            <w:noProof/>
            <w:webHidden/>
          </w:rPr>
          <w:tab/>
        </w:r>
        <w:r>
          <w:rPr>
            <w:noProof/>
            <w:webHidden/>
          </w:rPr>
          <w:fldChar w:fldCharType="begin"/>
        </w:r>
        <w:r>
          <w:rPr>
            <w:noProof/>
            <w:webHidden/>
          </w:rPr>
          <w:instrText xml:space="preserve"> PAGEREF _Toc214271390 \h </w:instrText>
        </w:r>
        <w:r>
          <w:rPr>
            <w:noProof/>
            <w:webHidden/>
          </w:rPr>
        </w:r>
        <w:r>
          <w:rPr>
            <w:noProof/>
            <w:webHidden/>
          </w:rPr>
          <w:fldChar w:fldCharType="separate"/>
        </w:r>
        <w:r>
          <w:rPr>
            <w:noProof/>
            <w:webHidden/>
          </w:rPr>
          <w:t>4</w:t>
        </w:r>
        <w:r>
          <w:rPr>
            <w:noProof/>
            <w:webHidden/>
          </w:rPr>
          <w:fldChar w:fldCharType="end"/>
        </w:r>
      </w:hyperlink>
    </w:p>
    <w:p w14:paraId="13EB0983" w14:textId="2C69C170"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1" w:history="1">
        <w:r w:rsidRPr="00C24DE4">
          <w:rPr>
            <w:rStyle w:val="-"/>
            <w:noProof/>
          </w:rPr>
          <w:t>1.2.</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Εθνικό πλαίσιο πολιτικής</w:t>
        </w:r>
        <w:r>
          <w:rPr>
            <w:noProof/>
            <w:webHidden/>
          </w:rPr>
          <w:tab/>
        </w:r>
        <w:r>
          <w:rPr>
            <w:noProof/>
            <w:webHidden/>
          </w:rPr>
          <w:fldChar w:fldCharType="begin"/>
        </w:r>
        <w:r>
          <w:rPr>
            <w:noProof/>
            <w:webHidden/>
          </w:rPr>
          <w:instrText xml:space="preserve"> PAGEREF _Toc214271391 \h </w:instrText>
        </w:r>
        <w:r>
          <w:rPr>
            <w:noProof/>
            <w:webHidden/>
          </w:rPr>
        </w:r>
        <w:r>
          <w:rPr>
            <w:noProof/>
            <w:webHidden/>
          </w:rPr>
          <w:fldChar w:fldCharType="separate"/>
        </w:r>
        <w:r>
          <w:rPr>
            <w:noProof/>
            <w:webHidden/>
          </w:rPr>
          <w:t>6</w:t>
        </w:r>
        <w:r>
          <w:rPr>
            <w:noProof/>
            <w:webHidden/>
          </w:rPr>
          <w:fldChar w:fldCharType="end"/>
        </w:r>
      </w:hyperlink>
    </w:p>
    <w:p w14:paraId="3AD8A72E" w14:textId="4AB8E3C3"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2" w:history="1">
        <w:r w:rsidRPr="00C24DE4">
          <w:rPr>
            <w:rStyle w:val="-"/>
            <w:noProof/>
          </w:rPr>
          <w:t>1.3.</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Υφιστάμενη κατάσταση ενεργειακής ένδειας</w:t>
        </w:r>
        <w:r>
          <w:rPr>
            <w:noProof/>
            <w:webHidden/>
          </w:rPr>
          <w:tab/>
        </w:r>
        <w:r>
          <w:rPr>
            <w:noProof/>
            <w:webHidden/>
          </w:rPr>
          <w:fldChar w:fldCharType="begin"/>
        </w:r>
        <w:r>
          <w:rPr>
            <w:noProof/>
            <w:webHidden/>
          </w:rPr>
          <w:instrText xml:space="preserve"> PAGEREF _Toc214271392 \h </w:instrText>
        </w:r>
        <w:r>
          <w:rPr>
            <w:noProof/>
            <w:webHidden/>
          </w:rPr>
        </w:r>
        <w:r>
          <w:rPr>
            <w:noProof/>
            <w:webHidden/>
          </w:rPr>
          <w:fldChar w:fldCharType="separate"/>
        </w:r>
        <w:r>
          <w:rPr>
            <w:noProof/>
            <w:webHidden/>
          </w:rPr>
          <w:t>11</w:t>
        </w:r>
        <w:r>
          <w:rPr>
            <w:noProof/>
            <w:webHidden/>
          </w:rPr>
          <w:fldChar w:fldCharType="end"/>
        </w:r>
      </w:hyperlink>
    </w:p>
    <w:p w14:paraId="24925938" w14:textId="3DCBC1AE"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3" w:history="1">
        <w:r w:rsidRPr="00C24DE4">
          <w:rPr>
            <w:rStyle w:val="-"/>
            <w:noProof/>
          </w:rPr>
          <w:t>1.4.</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Προκλήσεις</w:t>
        </w:r>
        <w:r>
          <w:rPr>
            <w:noProof/>
            <w:webHidden/>
          </w:rPr>
          <w:tab/>
        </w:r>
        <w:r>
          <w:rPr>
            <w:noProof/>
            <w:webHidden/>
          </w:rPr>
          <w:fldChar w:fldCharType="begin"/>
        </w:r>
        <w:r>
          <w:rPr>
            <w:noProof/>
            <w:webHidden/>
          </w:rPr>
          <w:instrText xml:space="preserve"> PAGEREF _Toc214271393 \h </w:instrText>
        </w:r>
        <w:r>
          <w:rPr>
            <w:noProof/>
            <w:webHidden/>
          </w:rPr>
        </w:r>
        <w:r>
          <w:rPr>
            <w:noProof/>
            <w:webHidden/>
          </w:rPr>
          <w:fldChar w:fldCharType="separate"/>
        </w:r>
        <w:r>
          <w:rPr>
            <w:noProof/>
            <w:webHidden/>
          </w:rPr>
          <w:t>14</w:t>
        </w:r>
        <w:r>
          <w:rPr>
            <w:noProof/>
            <w:webHidden/>
          </w:rPr>
          <w:fldChar w:fldCharType="end"/>
        </w:r>
      </w:hyperlink>
    </w:p>
    <w:p w14:paraId="1D757417" w14:textId="2F6E36B1"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4" w:history="1">
        <w:r w:rsidRPr="00C24DE4">
          <w:rPr>
            <w:rStyle w:val="-"/>
            <w:noProof/>
          </w:rPr>
          <w:t>1.5.</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Προτεραιότητες και στόχοι Σχεδίου Δράσης</w:t>
        </w:r>
        <w:r>
          <w:rPr>
            <w:noProof/>
            <w:webHidden/>
          </w:rPr>
          <w:tab/>
        </w:r>
        <w:r>
          <w:rPr>
            <w:noProof/>
            <w:webHidden/>
          </w:rPr>
          <w:fldChar w:fldCharType="begin"/>
        </w:r>
        <w:r>
          <w:rPr>
            <w:noProof/>
            <w:webHidden/>
          </w:rPr>
          <w:instrText xml:space="preserve"> PAGEREF _Toc214271394 \h </w:instrText>
        </w:r>
        <w:r>
          <w:rPr>
            <w:noProof/>
            <w:webHidden/>
          </w:rPr>
        </w:r>
        <w:r>
          <w:rPr>
            <w:noProof/>
            <w:webHidden/>
          </w:rPr>
          <w:fldChar w:fldCharType="separate"/>
        </w:r>
        <w:r>
          <w:rPr>
            <w:noProof/>
            <w:webHidden/>
          </w:rPr>
          <w:t>15</w:t>
        </w:r>
        <w:r>
          <w:rPr>
            <w:noProof/>
            <w:webHidden/>
          </w:rPr>
          <w:fldChar w:fldCharType="end"/>
        </w:r>
      </w:hyperlink>
    </w:p>
    <w:p w14:paraId="3DF3596B" w14:textId="33491C4E" w:rsidR="00C050DE" w:rsidRDefault="00C050DE">
      <w:pPr>
        <w:pStyle w:val="10"/>
        <w:tabs>
          <w:tab w:val="left" w:pos="44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5" w:history="1">
        <w:r w:rsidRPr="00C24DE4">
          <w:rPr>
            <w:rStyle w:val="-"/>
            <w:noProof/>
          </w:rPr>
          <w:t>2.</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Εθνικός ορισμός ενεργειακής ένδειας</w:t>
        </w:r>
        <w:r>
          <w:rPr>
            <w:noProof/>
            <w:webHidden/>
          </w:rPr>
          <w:tab/>
        </w:r>
        <w:r>
          <w:rPr>
            <w:noProof/>
            <w:webHidden/>
          </w:rPr>
          <w:fldChar w:fldCharType="begin"/>
        </w:r>
        <w:r>
          <w:rPr>
            <w:noProof/>
            <w:webHidden/>
          </w:rPr>
          <w:instrText xml:space="preserve"> PAGEREF _Toc214271395 \h </w:instrText>
        </w:r>
        <w:r>
          <w:rPr>
            <w:noProof/>
            <w:webHidden/>
          </w:rPr>
        </w:r>
        <w:r>
          <w:rPr>
            <w:noProof/>
            <w:webHidden/>
          </w:rPr>
          <w:fldChar w:fldCharType="separate"/>
        </w:r>
        <w:r>
          <w:rPr>
            <w:noProof/>
            <w:webHidden/>
          </w:rPr>
          <w:t>16</w:t>
        </w:r>
        <w:r>
          <w:rPr>
            <w:noProof/>
            <w:webHidden/>
          </w:rPr>
          <w:fldChar w:fldCharType="end"/>
        </w:r>
      </w:hyperlink>
    </w:p>
    <w:p w14:paraId="3BBA2727" w14:textId="3AB1E0D4" w:rsidR="00C050DE" w:rsidRDefault="00C050DE">
      <w:pPr>
        <w:pStyle w:val="10"/>
        <w:tabs>
          <w:tab w:val="left" w:pos="72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6" w:history="1">
        <w:r w:rsidRPr="00C24DE4">
          <w:rPr>
            <w:rStyle w:val="-"/>
            <w:noProof/>
          </w:rPr>
          <w:t>2.1.</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Αρχική Προσέγγιση για τον εντοπισμό των πληττόμενων νοικοκυριών</w:t>
        </w:r>
        <w:r>
          <w:rPr>
            <w:noProof/>
            <w:webHidden/>
          </w:rPr>
          <w:tab/>
        </w:r>
        <w:r>
          <w:rPr>
            <w:noProof/>
            <w:webHidden/>
          </w:rPr>
          <w:fldChar w:fldCharType="begin"/>
        </w:r>
        <w:r>
          <w:rPr>
            <w:noProof/>
            <w:webHidden/>
          </w:rPr>
          <w:instrText xml:space="preserve"> PAGEREF _Toc214271396 \h </w:instrText>
        </w:r>
        <w:r>
          <w:rPr>
            <w:noProof/>
            <w:webHidden/>
          </w:rPr>
        </w:r>
        <w:r>
          <w:rPr>
            <w:noProof/>
            <w:webHidden/>
          </w:rPr>
          <w:fldChar w:fldCharType="separate"/>
        </w:r>
        <w:r>
          <w:rPr>
            <w:noProof/>
            <w:webHidden/>
          </w:rPr>
          <w:t>17</w:t>
        </w:r>
        <w:r>
          <w:rPr>
            <w:noProof/>
            <w:webHidden/>
          </w:rPr>
          <w:fldChar w:fldCharType="end"/>
        </w:r>
      </w:hyperlink>
    </w:p>
    <w:p w14:paraId="6F7CCF5E" w14:textId="220DE72A" w:rsidR="00C050DE" w:rsidRDefault="00C050DE">
      <w:pPr>
        <w:pStyle w:val="10"/>
        <w:tabs>
          <w:tab w:val="left" w:pos="72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7" w:history="1">
        <w:r w:rsidRPr="00C24DE4">
          <w:rPr>
            <w:rStyle w:val="-"/>
            <w:noProof/>
          </w:rPr>
          <w:t>2.2.</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Νέα Προσέγγιση για τον εντοπισμό των πληττόμενων νοικοκυριών</w:t>
        </w:r>
        <w:r>
          <w:rPr>
            <w:noProof/>
            <w:webHidden/>
          </w:rPr>
          <w:tab/>
        </w:r>
        <w:r>
          <w:rPr>
            <w:noProof/>
            <w:webHidden/>
          </w:rPr>
          <w:fldChar w:fldCharType="begin"/>
        </w:r>
        <w:r>
          <w:rPr>
            <w:noProof/>
            <w:webHidden/>
          </w:rPr>
          <w:instrText xml:space="preserve"> PAGEREF _Toc214271397 \h </w:instrText>
        </w:r>
        <w:r>
          <w:rPr>
            <w:noProof/>
            <w:webHidden/>
          </w:rPr>
        </w:r>
        <w:r>
          <w:rPr>
            <w:noProof/>
            <w:webHidden/>
          </w:rPr>
          <w:fldChar w:fldCharType="separate"/>
        </w:r>
        <w:r>
          <w:rPr>
            <w:noProof/>
            <w:webHidden/>
          </w:rPr>
          <w:t>24</w:t>
        </w:r>
        <w:r>
          <w:rPr>
            <w:noProof/>
            <w:webHidden/>
          </w:rPr>
          <w:fldChar w:fldCharType="end"/>
        </w:r>
      </w:hyperlink>
    </w:p>
    <w:p w14:paraId="222C3EF0" w14:textId="1DC55120" w:rsidR="00C050DE" w:rsidRDefault="00C050DE">
      <w:pPr>
        <w:pStyle w:val="10"/>
        <w:tabs>
          <w:tab w:val="left" w:pos="44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8" w:history="1">
        <w:r w:rsidRPr="00C24DE4">
          <w:rPr>
            <w:rStyle w:val="-"/>
            <w:noProof/>
          </w:rPr>
          <w:t>3.</w:t>
        </w:r>
        <w:r>
          <w:rPr>
            <w:rFonts w:asciiTheme="minorHAnsi" w:eastAsiaTheme="minorEastAsia" w:hAnsiTheme="minorHAnsi" w:cstheme="minorBidi"/>
            <w:noProof/>
            <w:kern w:val="2"/>
            <w:sz w:val="24"/>
            <w:szCs w:val="24"/>
            <w:lang w:eastAsia="el-GR"/>
            <w14:ligatures w14:val="standardContextual"/>
          </w:rPr>
          <w:tab/>
        </w:r>
        <w:r w:rsidRPr="00C24DE4">
          <w:rPr>
            <w:rStyle w:val="-"/>
            <w:rFonts w:cstheme="minorHAnsi"/>
            <w:noProof/>
          </w:rPr>
          <w:t>Μέτρα πολιτικής για την αντιμετώπισης της ενεργειακής ένδειας</w:t>
        </w:r>
        <w:r>
          <w:rPr>
            <w:noProof/>
            <w:webHidden/>
          </w:rPr>
          <w:tab/>
        </w:r>
        <w:r>
          <w:rPr>
            <w:noProof/>
            <w:webHidden/>
          </w:rPr>
          <w:fldChar w:fldCharType="begin"/>
        </w:r>
        <w:r>
          <w:rPr>
            <w:noProof/>
            <w:webHidden/>
          </w:rPr>
          <w:instrText xml:space="preserve"> PAGEREF _Toc214271398 \h </w:instrText>
        </w:r>
        <w:r>
          <w:rPr>
            <w:noProof/>
            <w:webHidden/>
          </w:rPr>
        </w:r>
        <w:r>
          <w:rPr>
            <w:noProof/>
            <w:webHidden/>
          </w:rPr>
          <w:fldChar w:fldCharType="separate"/>
        </w:r>
        <w:r>
          <w:rPr>
            <w:noProof/>
            <w:webHidden/>
          </w:rPr>
          <w:t>24</w:t>
        </w:r>
        <w:r>
          <w:rPr>
            <w:noProof/>
            <w:webHidden/>
          </w:rPr>
          <w:fldChar w:fldCharType="end"/>
        </w:r>
      </w:hyperlink>
    </w:p>
    <w:p w14:paraId="16774559" w14:textId="05F0E842" w:rsidR="00C050DE" w:rsidRDefault="00C050DE">
      <w:pPr>
        <w:pStyle w:val="30"/>
        <w:tabs>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399" w:history="1">
        <w:r w:rsidRPr="00C24DE4">
          <w:rPr>
            <w:rStyle w:val="-"/>
            <w:rFonts w:cstheme="minorHAnsi"/>
            <w:noProof/>
          </w:rPr>
          <w:t>Διάσταση Ι: Προστασία καταναλωτών - Άμεση άμβλυνση των προκαλούμενων επιπτώσεων στα πλέον ευάλωτα νοικοκυριά</w:t>
        </w:r>
        <w:r>
          <w:rPr>
            <w:noProof/>
            <w:webHidden/>
          </w:rPr>
          <w:tab/>
        </w:r>
        <w:r>
          <w:rPr>
            <w:noProof/>
            <w:webHidden/>
          </w:rPr>
          <w:fldChar w:fldCharType="begin"/>
        </w:r>
        <w:r>
          <w:rPr>
            <w:noProof/>
            <w:webHidden/>
          </w:rPr>
          <w:instrText xml:space="preserve"> PAGEREF _Toc214271399 \h </w:instrText>
        </w:r>
        <w:r>
          <w:rPr>
            <w:noProof/>
            <w:webHidden/>
          </w:rPr>
        </w:r>
        <w:r>
          <w:rPr>
            <w:noProof/>
            <w:webHidden/>
          </w:rPr>
          <w:fldChar w:fldCharType="separate"/>
        </w:r>
        <w:r>
          <w:rPr>
            <w:noProof/>
            <w:webHidden/>
          </w:rPr>
          <w:t>26</w:t>
        </w:r>
        <w:r>
          <w:rPr>
            <w:noProof/>
            <w:webHidden/>
          </w:rPr>
          <w:fldChar w:fldCharType="end"/>
        </w:r>
      </w:hyperlink>
    </w:p>
    <w:p w14:paraId="78AC17BC" w14:textId="69F77923" w:rsidR="00C050DE" w:rsidRDefault="00C050DE">
      <w:pPr>
        <w:pStyle w:val="30"/>
        <w:tabs>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400" w:history="1">
        <w:r w:rsidRPr="00C24DE4">
          <w:rPr>
            <w:rStyle w:val="-"/>
            <w:rFonts w:cstheme="minorHAnsi"/>
            <w:noProof/>
          </w:rPr>
          <w:t>Διάσταση Ι</w:t>
        </w:r>
        <w:r w:rsidRPr="00C24DE4">
          <w:rPr>
            <w:rStyle w:val="-"/>
            <w:rFonts w:cstheme="minorHAnsi"/>
            <w:noProof/>
            <w:lang w:val="en-US"/>
          </w:rPr>
          <w:t>I</w:t>
        </w:r>
        <w:r w:rsidRPr="00C24DE4">
          <w:rPr>
            <w:rStyle w:val="-"/>
            <w:rFonts w:cstheme="minorHAnsi"/>
            <w:noProof/>
          </w:rPr>
          <w:t>: Αναπτυξιακή προοπτική - Δομική αντιμετώπιση της ενεργειακής ένδειας: Δράσεις για τη βελτίωση της ενεργειακής απόδοσης και την αύξηση της χρήσης ΑΠΕ</w:t>
        </w:r>
        <w:r>
          <w:rPr>
            <w:noProof/>
            <w:webHidden/>
          </w:rPr>
          <w:tab/>
        </w:r>
        <w:r>
          <w:rPr>
            <w:noProof/>
            <w:webHidden/>
          </w:rPr>
          <w:fldChar w:fldCharType="begin"/>
        </w:r>
        <w:r>
          <w:rPr>
            <w:noProof/>
            <w:webHidden/>
          </w:rPr>
          <w:instrText xml:space="preserve"> PAGEREF _Toc214271400 \h </w:instrText>
        </w:r>
        <w:r>
          <w:rPr>
            <w:noProof/>
            <w:webHidden/>
          </w:rPr>
        </w:r>
        <w:r>
          <w:rPr>
            <w:noProof/>
            <w:webHidden/>
          </w:rPr>
          <w:fldChar w:fldCharType="separate"/>
        </w:r>
        <w:r>
          <w:rPr>
            <w:noProof/>
            <w:webHidden/>
          </w:rPr>
          <w:t>28</w:t>
        </w:r>
        <w:r>
          <w:rPr>
            <w:noProof/>
            <w:webHidden/>
          </w:rPr>
          <w:fldChar w:fldCharType="end"/>
        </w:r>
      </w:hyperlink>
    </w:p>
    <w:p w14:paraId="7D176E2C" w14:textId="54349537" w:rsidR="00C050DE" w:rsidRDefault="00C050DE">
      <w:pPr>
        <w:pStyle w:val="30"/>
        <w:tabs>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401" w:history="1">
        <w:r w:rsidRPr="00C24DE4">
          <w:rPr>
            <w:rStyle w:val="-"/>
            <w:rFonts w:cstheme="minorHAnsi"/>
            <w:noProof/>
          </w:rPr>
          <w:t>Διάσταση Ι</w:t>
        </w:r>
        <w:r w:rsidRPr="00C24DE4">
          <w:rPr>
            <w:rStyle w:val="-"/>
            <w:rFonts w:cstheme="minorHAnsi"/>
            <w:noProof/>
            <w:lang w:val="en-US"/>
          </w:rPr>
          <w:t>II</w:t>
        </w:r>
        <w:r w:rsidRPr="00C24DE4">
          <w:rPr>
            <w:rStyle w:val="-"/>
            <w:rFonts w:cstheme="minorHAnsi"/>
            <w:noProof/>
          </w:rPr>
          <w:t>: Δράσεις ενημέρωσης, εκπαίδευσης και συντονισμού</w:t>
        </w:r>
        <w:r>
          <w:rPr>
            <w:noProof/>
            <w:webHidden/>
          </w:rPr>
          <w:tab/>
        </w:r>
        <w:r>
          <w:rPr>
            <w:noProof/>
            <w:webHidden/>
          </w:rPr>
          <w:fldChar w:fldCharType="begin"/>
        </w:r>
        <w:r>
          <w:rPr>
            <w:noProof/>
            <w:webHidden/>
          </w:rPr>
          <w:instrText xml:space="preserve"> PAGEREF _Toc214271401 \h </w:instrText>
        </w:r>
        <w:r>
          <w:rPr>
            <w:noProof/>
            <w:webHidden/>
          </w:rPr>
        </w:r>
        <w:r>
          <w:rPr>
            <w:noProof/>
            <w:webHidden/>
          </w:rPr>
          <w:fldChar w:fldCharType="separate"/>
        </w:r>
        <w:r>
          <w:rPr>
            <w:noProof/>
            <w:webHidden/>
          </w:rPr>
          <w:t>30</w:t>
        </w:r>
        <w:r>
          <w:rPr>
            <w:noProof/>
            <w:webHidden/>
          </w:rPr>
          <w:fldChar w:fldCharType="end"/>
        </w:r>
      </w:hyperlink>
    </w:p>
    <w:p w14:paraId="06EA76F6" w14:textId="2F2D4F15"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402" w:history="1">
        <w:r w:rsidRPr="00C24DE4">
          <w:rPr>
            <w:rStyle w:val="-"/>
            <w:noProof/>
          </w:rPr>
          <w:t>3.1.</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Σύνοψη μέτρων και πολιτικών</w:t>
        </w:r>
        <w:r>
          <w:rPr>
            <w:noProof/>
            <w:webHidden/>
          </w:rPr>
          <w:tab/>
        </w:r>
        <w:r>
          <w:rPr>
            <w:noProof/>
            <w:webHidden/>
          </w:rPr>
          <w:fldChar w:fldCharType="begin"/>
        </w:r>
        <w:r>
          <w:rPr>
            <w:noProof/>
            <w:webHidden/>
          </w:rPr>
          <w:instrText xml:space="preserve"> PAGEREF _Toc214271402 \h </w:instrText>
        </w:r>
        <w:r>
          <w:rPr>
            <w:noProof/>
            <w:webHidden/>
          </w:rPr>
        </w:r>
        <w:r>
          <w:rPr>
            <w:noProof/>
            <w:webHidden/>
          </w:rPr>
          <w:fldChar w:fldCharType="separate"/>
        </w:r>
        <w:r>
          <w:rPr>
            <w:noProof/>
            <w:webHidden/>
          </w:rPr>
          <w:t>31</w:t>
        </w:r>
        <w:r>
          <w:rPr>
            <w:noProof/>
            <w:webHidden/>
          </w:rPr>
          <w:fldChar w:fldCharType="end"/>
        </w:r>
      </w:hyperlink>
    </w:p>
    <w:p w14:paraId="6BE28146" w14:textId="3AAF33B1" w:rsidR="00C050DE" w:rsidRDefault="00C050DE">
      <w:pPr>
        <w:pStyle w:val="20"/>
        <w:tabs>
          <w:tab w:val="left" w:pos="96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403" w:history="1">
        <w:r w:rsidRPr="00C24DE4">
          <w:rPr>
            <w:rStyle w:val="-"/>
            <w:noProof/>
          </w:rPr>
          <w:t>3.2.</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Προϋποθέσεις για την αποτελεσματική υλοποίηση των επιλεγμένων μέτρων</w:t>
        </w:r>
        <w:r>
          <w:rPr>
            <w:noProof/>
            <w:webHidden/>
          </w:rPr>
          <w:tab/>
        </w:r>
        <w:r>
          <w:rPr>
            <w:noProof/>
            <w:webHidden/>
          </w:rPr>
          <w:fldChar w:fldCharType="begin"/>
        </w:r>
        <w:r>
          <w:rPr>
            <w:noProof/>
            <w:webHidden/>
          </w:rPr>
          <w:instrText xml:space="preserve"> PAGEREF _Toc214271403 \h </w:instrText>
        </w:r>
        <w:r>
          <w:rPr>
            <w:noProof/>
            <w:webHidden/>
          </w:rPr>
        </w:r>
        <w:r>
          <w:rPr>
            <w:noProof/>
            <w:webHidden/>
          </w:rPr>
          <w:fldChar w:fldCharType="separate"/>
        </w:r>
        <w:r>
          <w:rPr>
            <w:noProof/>
            <w:webHidden/>
          </w:rPr>
          <w:t>32</w:t>
        </w:r>
        <w:r>
          <w:rPr>
            <w:noProof/>
            <w:webHidden/>
          </w:rPr>
          <w:fldChar w:fldCharType="end"/>
        </w:r>
      </w:hyperlink>
    </w:p>
    <w:p w14:paraId="6B864653" w14:textId="4A771A82" w:rsidR="00C050DE" w:rsidRDefault="00C050DE">
      <w:pPr>
        <w:pStyle w:val="10"/>
        <w:tabs>
          <w:tab w:val="left" w:pos="440"/>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404" w:history="1">
        <w:r w:rsidRPr="00C24DE4">
          <w:rPr>
            <w:rStyle w:val="-"/>
            <w:noProof/>
          </w:rPr>
          <w:t>4.</w:t>
        </w:r>
        <w:r>
          <w:rPr>
            <w:rFonts w:asciiTheme="minorHAnsi" w:eastAsiaTheme="minorEastAsia" w:hAnsiTheme="minorHAnsi" w:cstheme="minorBidi"/>
            <w:noProof/>
            <w:kern w:val="2"/>
            <w:sz w:val="24"/>
            <w:szCs w:val="24"/>
            <w:lang w:eastAsia="el-GR"/>
            <w14:ligatures w14:val="standardContextual"/>
          </w:rPr>
          <w:tab/>
        </w:r>
        <w:r w:rsidRPr="00C24DE4">
          <w:rPr>
            <w:rStyle w:val="-"/>
            <w:rFonts w:cs="Calibri"/>
            <w:noProof/>
          </w:rPr>
          <w:t>Μηχανισμός παρακολούθησης και ελέγχου Σχεδίου Δράσης</w:t>
        </w:r>
        <w:r>
          <w:rPr>
            <w:noProof/>
            <w:webHidden/>
          </w:rPr>
          <w:tab/>
        </w:r>
        <w:r>
          <w:rPr>
            <w:noProof/>
            <w:webHidden/>
          </w:rPr>
          <w:fldChar w:fldCharType="begin"/>
        </w:r>
        <w:r>
          <w:rPr>
            <w:noProof/>
            <w:webHidden/>
          </w:rPr>
          <w:instrText xml:space="preserve"> PAGEREF _Toc214271404 \h </w:instrText>
        </w:r>
        <w:r>
          <w:rPr>
            <w:noProof/>
            <w:webHidden/>
          </w:rPr>
        </w:r>
        <w:r>
          <w:rPr>
            <w:noProof/>
            <w:webHidden/>
          </w:rPr>
          <w:fldChar w:fldCharType="separate"/>
        </w:r>
        <w:r>
          <w:rPr>
            <w:noProof/>
            <w:webHidden/>
          </w:rPr>
          <w:t>34</w:t>
        </w:r>
        <w:r>
          <w:rPr>
            <w:noProof/>
            <w:webHidden/>
          </w:rPr>
          <w:fldChar w:fldCharType="end"/>
        </w:r>
      </w:hyperlink>
    </w:p>
    <w:p w14:paraId="1944CD93" w14:textId="0DFF2A67" w:rsidR="00C050DE" w:rsidRDefault="00C050DE">
      <w:pPr>
        <w:pStyle w:val="10"/>
        <w:tabs>
          <w:tab w:val="right" w:leader="dot" w:pos="8538"/>
        </w:tabs>
        <w:rPr>
          <w:rFonts w:asciiTheme="minorHAnsi" w:eastAsiaTheme="minorEastAsia" w:hAnsiTheme="minorHAnsi" w:cstheme="minorBidi"/>
          <w:noProof/>
          <w:kern w:val="2"/>
          <w:sz w:val="24"/>
          <w:szCs w:val="24"/>
          <w:lang w:eastAsia="el-GR"/>
          <w14:ligatures w14:val="standardContextual"/>
        </w:rPr>
      </w:pPr>
      <w:hyperlink w:anchor="_Toc214271405" w:history="1">
        <w:r w:rsidRPr="00C24DE4">
          <w:rPr>
            <w:rStyle w:val="-"/>
            <w:rFonts w:cs="Calibri"/>
            <w:noProof/>
          </w:rPr>
          <w:t>Παράρτημα Α: Εντασσόμενες κατηγορίες δαπανών στις εύλογες δαπάνες διαβίωσης</w:t>
        </w:r>
        <w:r>
          <w:rPr>
            <w:noProof/>
            <w:webHidden/>
          </w:rPr>
          <w:tab/>
        </w:r>
        <w:r>
          <w:rPr>
            <w:noProof/>
            <w:webHidden/>
          </w:rPr>
          <w:fldChar w:fldCharType="begin"/>
        </w:r>
        <w:r>
          <w:rPr>
            <w:noProof/>
            <w:webHidden/>
          </w:rPr>
          <w:instrText xml:space="preserve"> PAGEREF _Toc214271405 \h </w:instrText>
        </w:r>
        <w:r>
          <w:rPr>
            <w:noProof/>
            <w:webHidden/>
          </w:rPr>
        </w:r>
        <w:r>
          <w:rPr>
            <w:noProof/>
            <w:webHidden/>
          </w:rPr>
          <w:fldChar w:fldCharType="separate"/>
        </w:r>
        <w:r>
          <w:rPr>
            <w:noProof/>
            <w:webHidden/>
          </w:rPr>
          <w:t>36</w:t>
        </w:r>
        <w:r>
          <w:rPr>
            <w:noProof/>
            <w:webHidden/>
          </w:rPr>
          <w:fldChar w:fldCharType="end"/>
        </w:r>
      </w:hyperlink>
    </w:p>
    <w:p w14:paraId="31B60853" w14:textId="7F8F37C5" w:rsidR="002C70FF" w:rsidRDefault="007D1663" w:rsidP="009B360E">
      <w:r w:rsidRPr="002C1089">
        <w:rPr>
          <w:b/>
          <w:bCs/>
        </w:rPr>
        <w:fldChar w:fldCharType="end"/>
      </w:r>
    </w:p>
    <w:p w14:paraId="31B60854" w14:textId="77777777" w:rsidR="002C70FF" w:rsidRPr="009B360E" w:rsidRDefault="002C70FF" w:rsidP="009B360E">
      <w:pPr>
        <w:sectPr w:rsidR="002C70FF" w:rsidRPr="009B360E" w:rsidSect="00956B0B">
          <w:pgSz w:w="11906" w:h="16838"/>
          <w:pgMar w:top="1440" w:right="1558" w:bottom="1440" w:left="1800" w:header="708" w:footer="708" w:gutter="0"/>
          <w:cols w:space="708"/>
          <w:docGrid w:linePitch="360"/>
        </w:sectPr>
      </w:pPr>
    </w:p>
    <w:p w14:paraId="31B60855" w14:textId="77777777" w:rsidR="002C70FF" w:rsidRDefault="002C70FF" w:rsidP="009B360E">
      <w:pPr>
        <w:pStyle w:val="1"/>
        <w:spacing w:before="240" w:after="240"/>
        <w:rPr>
          <w:rFonts w:ascii="Calibri" w:hAnsi="Calibri" w:cs="Calibri"/>
          <w:color w:val="002060"/>
        </w:rPr>
      </w:pPr>
      <w:bookmarkStart w:id="0" w:name="_Toc214271388"/>
      <w:r>
        <w:rPr>
          <w:rFonts w:ascii="Calibri" w:hAnsi="Calibri" w:cs="Calibri"/>
          <w:color w:val="002060"/>
        </w:rPr>
        <w:lastRenderedPageBreak/>
        <w:t>Πρόλογος</w:t>
      </w:r>
      <w:bookmarkEnd w:id="0"/>
    </w:p>
    <w:p w14:paraId="31B60856" w14:textId="06DDB3C3" w:rsidR="002C70FF" w:rsidRPr="00A93B5B" w:rsidRDefault="002C70FF" w:rsidP="00731C3E">
      <w:pPr>
        <w:spacing w:before="120" w:after="120"/>
        <w:jc w:val="both"/>
        <w:rPr>
          <w:lang w:eastAsia="el-GR"/>
        </w:rPr>
      </w:pPr>
      <w:r>
        <w:rPr>
          <w:lang w:eastAsia="el-GR"/>
        </w:rPr>
        <w:t xml:space="preserve">Η ενεργειακή ένδεια αποτελεί </w:t>
      </w:r>
      <w:r w:rsidR="003469AC">
        <w:rPr>
          <w:lang w:eastAsia="el-GR"/>
        </w:rPr>
        <w:t xml:space="preserve">ένα </w:t>
      </w:r>
      <w:r>
        <w:rPr>
          <w:lang w:eastAsia="el-GR"/>
        </w:rPr>
        <w:t xml:space="preserve">ιδιαίτερα σημαντικό φαινόμενο </w:t>
      </w:r>
      <w:r w:rsidRPr="009E3D34">
        <w:t xml:space="preserve">με ποικίλες </w:t>
      </w:r>
      <w:r>
        <w:t>προεκτάσεις και συνέπειες</w:t>
      </w:r>
      <w:r w:rsidRPr="009E3D34">
        <w:t xml:space="preserve"> στην οικονομία, στην πολιτική, στην κοινωνία, στην υγεία και στο περιβάλλον των χωρών της Ευρωπαϊκής Ένωσης</w:t>
      </w:r>
      <w:r w:rsidR="00E5434A" w:rsidRPr="00604DEB">
        <w:t>.</w:t>
      </w:r>
      <w:r w:rsidR="00061409" w:rsidRPr="00604DEB">
        <w:t xml:space="preserve"> </w:t>
      </w:r>
      <w:r w:rsidR="00341BE8" w:rsidRPr="00604DEB">
        <w:t>Στ</w:t>
      </w:r>
      <w:r w:rsidRPr="00604DEB">
        <w:t>ο πλαίσιο του Εθνικού Σχεδίου για την Ενέργεια και το Κλίμα (ΕΣΕΚ)</w:t>
      </w:r>
      <w:r w:rsidR="008B4CF1" w:rsidRPr="00604DEB">
        <w:t>,</w:t>
      </w:r>
      <w:r w:rsidRPr="00604DEB">
        <w:t xml:space="preserve"> η κα</w:t>
      </w:r>
      <w:r w:rsidRPr="00604DEB">
        <w:rPr>
          <w:lang w:eastAsia="el-GR"/>
        </w:rPr>
        <w:t>ταπολέμησ</w:t>
      </w:r>
      <w:r w:rsidR="00061409" w:rsidRPr="00604DEB">
        <w:rPr>
          <w:lang w:eastAsia="el-GR"/>
        </w:rPr>
        <w:t>ή</w:t>
      </w:r>
      <w:r w:rsidRPr="00604DEB">
        <w:rPr>
          <w:lang w:eastAsia="el-GR"/>
        </w:rPr>
        <w:t xml:space="preserve"> του </w:t>
      </w:r>
      <w:r w:rsidR="00341BE8" w:rsidRPr="00604DEB">
        <w:rPr>
          <w:lang w:eastAsia="el-GR"/>
        </w:rPr>
        <w:t xml:space="preserve">φαινομένου </w:t>
      </w:r>
      <w:r w:rsidRPr="00604DEB">
        <w:rPr>
          <w:lang w:eastAsia="el-GR"/>
        </w:rPr>
        <w:t>αποτελεί προτεραιότητα</w:t>
      </w:r>
      <w:r>
        <w:rPr>
          <w:lang w:eastAsia="el-GR"/>
        </w:rPr>
        <w:t xml:space="preserve"> και </w:t>
      </w:r>
      <w:r w:rsidRPr="00BB14FB">
        <w:rPr>
          <w:lang w:eastAsia="el-GR"/>
        </w:rPr>
        <w:t xml:space="preserve">σημαντική πρόκληση έως το </w:t>
      </w:r>
      <w:r>
        <w:t xml:space="preserve">έτος </w:t>
      </w:r>
      <w:r w:rsidRPr="00BB14FB">
        <w:rPr>
          <w:lang w:eastAsia="el-GR"/>
        </w:rPr>
        <w:t>2030</w:t>
      </w:r>
      <w:r w:rsidR="00E5434A">
        <w:rPr>
          <w:lang w:eastAsia="el-GR"/>
        </w:rPr>
        <w:t>,</w:t>
      </w:r>
      <w:r w:rsidRPr="00BB14FB">
        <w:rPr>
          <w:lang w:eastAsia="el-GR"/>
        </w:rPr>
        <w:t xml:space="preserve"> </w:t>
      </w:r>
      <w:r>
        <w:rPr>
          <w:lang w:eastAsia="el-GR"/>
        </w:rPr>
        <w:t>προκειμένου να επιτευχθεί η αντιστροφή των επιπτώσεων στην ελληνική κοινωνία</w:t>
      </w:r>
      <w:r w:rsidRPr="00BB14FB">
        <w:rPr>
          <w:lang w:eastAsia="el-GR"/>
        </w:rPr>
        <w:t>.</w:t>
      </w:r>
    </w:p>
    <w:p w14:paraId="31B60857" w14:textId="119F3175" w:rsidR="002C70FF" w:rsidRPr="00BB14FB" w:rsidRDefault="002C70FF" w:rsidP="00731C3E">
      <w:pPr>
        <w:spacing w:before="120" w:after="120"/>
        <w:jc w:val="both"/>
        <w:rPr>
          <w:lang w:eastAsia="el-GR"/>
        </w:rPr>
      </w:pPr>
      <w:r w:rsidRPr="00BB14FB">
        <w:rPr>
          <w:lang w:eastAsia="el-GR"/>
        </w:rPr>
        <w:t xml:space="preserve">Για την </w:t>
      </w:r>
      <w:r w:rsidR="00061409">
        <w:rPr>
          <w:lang w:eastAsia="el-GR"/>
        </w:rPr>
        <w:t>αποτελεσματική αντιμετώπιση της ενεργειακής ένδειας</w:t>
      </w:r>
      <w:r w:rsidRPr="00BB14FB">
        <w:rPr>
          <w:lang w:eastAsia="el-GR"/>
        </w:rPr>
        <w:t xml:space="preserve"> απαιτείται </w:t>
      </w:r>
      <w:r w:rsidR="003469AC">
        <w:rPr>
          <w:lang w:eastAsia="el-GR"/>
        </w:rPr>
        <w:t xml:space="preserve">ο </w:t>
      </w:r>
      <w:r w:rsidR="007A176D">
        <w:rPr>
          <w:lang w:eastAsia="el-GR"/>
        </w:rPr>
        <w:t xml:space="preserve">δυναμικός </w:t>
      </w:r>
      <w:r w:rsidRPr="00BB14FB">
        <w:rPr>
          <w:lang w:eastAsia="el-GR"/>
        </w:rPr>
        <w:t>σχεδιασμός και</w:t>
      </w:r>
      <w:r w:rsidR="003469AC">
        <w:rPr>
          <w:lang w:eastAsia="el-GR"/>
        </w:rPr>
        <w:t xml:space="preserve"> η</w:t>
      </w:r>
      <w:r w:rsidRPr="00BB14FB">
        <w:rPr>
          <w:lang w:eastAsia="el-GR"/>
        </w:rPr>
        <w:t xml:space="preserve"> εφαρμογή μιας συνεκτικής στρατηγικής, </w:t>
      </w:r>
      <w:r>
        <w:rPr>
          <w:lang w:eastAsia="el-GR"/>
        </w:rPr>
        <w:t xml:space="preserve">η οποία θα στοχεύει στη μόνιμη και μακροπρόθεσμη </w:t>
      </w:r>
      <w:r w:rsidRPr="00BB14FB">
        <w:rPr>
          <w:lang w:eastAsia="el-GR"/>
        </w:rPr>
        <w:t xml:space="preserve">καταπολέμηση του </w:t>
      </w:r>
      <w:r w:rsidR="00061409">
        <w:rPr>
          <w:lang w:eastAsia="el-GR"/>
        </w:rPr>
        <w:t>προβλήματος</w:t>
      </w:r>
      <w:r w:rsidRPr="00BB14FB">
        <w:rPr>
          <w:lang w:eastAsia="el-GR"/>
        </w:rPr>
        <w:t>.</w:t>
      </w:r>
    </w:p>
    <w:p w14:paraId="7FF572BA" w14:textId="7D2CD9BD" w:rsidR="00B92617" w:rsidRDefault="00B92617" w:rsidP="00B92617">
      <w:pPr>
        <w:spacing w:before="120" w:after="120"/>
        <w:jc w:val="both"/>
        <w:rPr>
          <w:lang w:eastAsia="el-GR"/>
        </w:rPr>
      </w:pPr>
      <w:r>
        <w:rPr>
          <w:lang w:eastAsia="el-GR"/>
        </w:rPr>
        <w:t>Τ</w:t>
      </w:r>
      <w:r w:rsidRPr="004A387A">
        <w:rPr>
          <w:lang w:eastAsia="el-GR"/>
        </w:rPr>
        <w:t xml:space="preserve">ο </w:t>
      </w:r>
      <w:r>
        <w:rPr>
          <w:lang w:eastAsia="el-GR"/>
        </w:rPr>
        <w:t xml:space="preserve">παρόν </w:t>
      </w:r>
      <w:r w:rsidRPr="004A387A">
        <w:rPr>
          <w:lang w:eastAsia="el-GR"/>
        </w:rPr>
        <w:t xml:space="preserve">Σχέδιο Δράσης </w:t>
      </w:r>
      <w:r w:rsidR="00341BE8" w:rsidRPr="004A387A">
        <w:rPr>
          <w:lang w:eastAsia="el-GR"/>
        </w:rPr>
        <w:t xml:space="preserve">περιλαμβάνει τον ορισμό των νοικοκυριών τα οποία πλήττονται από την ενεργειακή ένδεια μέσω συγκεκριμένων ποσοτικών κριτηρίων, </w:t>
      </w:r>
      <w:r w:rsidR="00341BE8">
        <w:rPr>
          <w:lang w:eastAsia="el-GR"/>
        </w:rPr>
        <w:t>καθώς</w:t>
      </w:r>
      <w:r w:rsidR="00341BE8" w:rsidRPr="004A387A">
        <w:rPr>
          <w:lang w:eastAsia="el-GR"/>
        </w:rPr>
        <w:t xml:space="preserve"> και την ανάπτυξη μιας εξειδικευμένης διαδικασίας παρακολούθησης και αξιολόγησης της πορείας </w:t>
      </w:r>
      <w:r w:rsidR="00341BE8">
        <w:rPr>
          <w:lang w:eastAsia="el-GR"/>
        </w:rPr>
        <w:t>μετριασμού</w:t>
      </w:r>
      <w:r w:rsidR="00341BE8" w:rsidRPr="004A387A">
        <w:rPr>
          <w:lang w:eastAsia="el-GR"/>
        </w:rPr>
        <w:t xml:space="preserve"> του φαινομένου </w:t>
      </w:r>
      <w:r w:rsidR="00341BE8">
        <w:t xml:space="preserve">στην Ελλάδα </w:t>
      </w:r>
      <w:r w:rsidR="00341BE8" w:rsidRPr="004A387A">
        <w:rPr>
          <w:lang w:eastAsia="el-GR"/>
        </w:rPr>
        <w:t>έως το 2030.</w:t>
      </w:r>
    </w:p>
    <w:p w14:paraId="31B60859" w14:textId="2C704D8C" w:rsidR="002C70FF" w:rsidRPr="004A387A" w:rsidRDefault="00E5434A" w:rsidP="00731C3E">
      <w:pPr>
        <w:spacing w:before="120" w:after="120"/>
        <w:jc w:val="both"/>
        <w:rPr>
          <w:lang w:eastAsia="el-GR"/>
        </w:rPr>
      </w:pPr>
      <w:r>
        <w:rPr>
          <w:lang w:eastAsia="el-GR"/>
        </w:rPr>
        <w:t>Τα προτεινόμενα</w:t>
      </w:r>
      <w:r w:rsidR="002C70FF" w:rsidRPr="004A387A">
        <w:rPr>
          <w:lang w:eastAsia="el-GR"/>
        </w:rPr>
        <w:t xml:space="preserve"> μέτρα πολιτικής </w:t>
      </w:r>
      <w:r w:rsidR="00E41C11">
        <w:rPr>
          <w:lang w:eastAsia="el-GR"/>
        </w:rPr>
        <w:t xml:space="preserve">συμμορφώνονται </w:t>
      </w:r>
      <w:r w:rsidR="002C70FF" w:rsidRPr="004A387A">
        <w:rPr>
          <w:lang w:eastAsia="el-GR"/>
        </w:rPr>
        <w:t xml:space="preserve">με τις επιταγές της Οδηγίας </w:t>
      </w:r>
      <w:r w:rsidR="009D1C35">
        <w:rPr>
          <w:lang w:eastAsia="el-GR"/>
        </w:rPr>
        <w:t>2019/944</w:t>
      </w:r>
      <w:r w:rsidR="002C70FF" w:rsidRPr="004A387A">
        <w:rPr>
          <w:lang w:eastAsia="el-GR"/>
        </w:rPr>
        <w:t>/</w:t>
      </w:r>
      <w:r w:rsidR="002C70FF" w:rsidRPr="004A387A">
        <w:rPr>
          <w:lang w:val="en-US" w:eastAsia="el-GR"/>
        </w:rPr>
        <w:t>EE</w:t>
      </w:r>
      <w:r w:rsidR="002C70FF" w:rsidRPr="004A387A">
        <w:rPr>
          <w:lang w:eastAsia="el-GR"/>
        </w:rPr>
        <w:t xml:space="preserve"> και της Οδηγίας </w:t>
      </w:r>
      <w:r w:rsidR="00A93B5B">
        <w:rPr>
          <w:lang w:eastAsia="el-GR"/>
        </w:rPr>
        <w:t>2023</w:t>
      </w:r>
      <w:r w:rsidR="002C70FF" w:rsidRPr="004A387A">
        <w:rPr>
          <w:lang w:eastAsia="el-GR"/>
        </w:rPr>
        <w:t>/</w:t>
      </w:r>
      <w:r w:rsidR="00A93B5B">
        <w:rPr>
          <w:lang w:eastAsia="el-GR"/>
        </w:rPr>
        <w:t>1791</w:t>
      </w:r>
      <w:r w:rsidR="002C70FF" w:rsidRPr="004A387A">
        <w:rPr>
          <w:lang w:eastAsia="el-GR"/>
        </w:rPr>
        <w:t>/</w:t>
      </w:r>
      <w:r w:rsidR="002C70FF" w:rsidRPr="004A387A">
        <w:rPr>
          <w:lang w:val="en-US" w:eastAsia="el-GR"/>
        </w:rPr>
        <w:t>EE</w:t>
      </w:r>
      <w:r w:rsidR="002C70FF" w:rsidRPr="004A387A">
        <w:rPr>
          <w:lang w:eastAsia="el-GR"/>
        </w:rPr>
        <w:t xml:space="preserve">, ενώ </w:t>
      </w:r>
      <w:r>
        <w:rPr>
          <w:lang w:eastAsia="el-GR"/>
        </w:rPr>
        <w:t xml:space="preserve">δίνεται </w:t>
      </w:r>
      <w:r w:rsidR="00A93B5B">
        <w:rPr>
          <w:lang w:eastAsia="el-GR"/>
        </w:rPr>
        <w:t>προτεραιότητα στη</w:t>
      </w:r>
      <w:r w:rsidR="002C70FF" w:rsidRPr="004A387A">
        <w:rPr>
          <w:lang w:eastAsia="el-GR"/>
        </w:rPr>
        <w:t xml:space="preserve"> διαδικασία παρακολούθησης και </w:t>
      </w:r>
      <w:r w:rsidR="002C70FF">
        <w:rPr>
          <w:lang w:eastAsia="el-GR"/>
        </w:rPr>
        <w:t>αποτίμησης</w:t>
      </w:r>
      <w:r w:rsidR="002C70FF" w:rsidRPr="004A387A">
        <w:rPr>
          <w:lang w:eastAsia="el-GR"/>
        </w:rPr>
        <w:t xml:space="preserve"> των επιπτώσεων του κάθε μέτρου ξεχωριστά, με σκοπό είτε τον ανασχεδιασμό τους, είτε την </w:t>
      </w:r>
      <w:r w:rsidR="00E41C11">
        <w:rPr>
          <w:lang w:eastAsia="el-GR"/>
        </w:rPr>
        <w:t>υιοθέτηση</w:t>
      </w:r>
      <w:r w:rsidR="002C70FF" w:rsidRPr="004A387A">
        <w:rPr>
          <w:lang w:eastAsia="el-GR"/>
        </w:rPr>
        <w:t xml:space="preserve"> νέων μέτρων</w:t>
      </w:r>
      <w:r w:rsidR="00453F33">
        <w:rPr>
          <w:lang w:eastAsia="el-GR"/>
        </w:rPr>
        <w:t xml:space="preserve"> και πολιτικών</w:t>
      </w:r>
      <w:r w:rsidR="00061409">
        <w:rPr>
          <w:lang w:eastAsia="el-GR"/>
        </w:rPr>
        <w:t xml:space="preserve">, στην περίπτωση που </w:t>
      </w:r>
      <w:r w:rsidR="009D1C94">
        <w:rPr>
          <w:lang w:eastAsia="el-GR"/>
        </w:rPr>
        <w:t xml:space="preserve">αυτό </w:t>
      </w:r>
      <w:r w:rsidR="00061409">
        <w:rPr>
          <w:lang w:eastAsia="el-GR"/>
        </w:rPr>
        <w:t>κριθεί αναγκαίο</w:t>
      </w:r>
      <w:r w:rsidR="002C70FF" w:rsidRPr="004A387A">
        <w:rPr>
          <w:lang w:eastAsia="el-GR"/>
        </w:rPr>
        <w:t>.</w:t>
      </w:r>
    </w:p>
    <w:p w14:paraId="31B6085B" w14:textId="1B20E890" w:rsidR="002C70FF" w:rsidRDefault="002C70FF" w:rsidP="00731C3E">
      <w:pPr>
        <w:spacing w:before="120" w:after="120"/>
        <w:jc w:val="both"/>
        <w:rPr>
          <w:lang w:eastAsia="el-GR"/>
        </w:rPr>
      </w:pPr>
      <w:r>
        <w:rPr>
          <w:lang w:eastAsia="el-GR"/>
        </w:rPr>
        <w:t xml:space="preserve">Στόχος του συγκεκριμένου Σχεδίου Δράσης είναι η </w:t>
      </w:r>
      <w:r w:rsidR="00061409">
        <w:rPr>
          <w:lang w:eastAsia="el-GR"/>
        </w:rPr>
        <w:t>διαμόρφωση του πλαισίου</w:t>
      </w:r>
      <w:r w:rsidR="00341BE8">
        <w:rPr>
          <w:lang w:eastAsia="el-GR"/>
        </w:rPr>
        <w:t xml:space="preserve">, η </w:t>
      </w:r>
      <w:r w:rsidR="00C30476">
        <w:rPr>
          <w:lang w:eastAsia="el-GR"/>
        </w:rPr>
        <w:t>διαρκή</w:t>
      </w:r>
      <w:r w:rsidR="00341BE8">
        <w:rPr>
          <w:lang w:eastAsia="el-GR"/>
        </w:rPr>
        <w:t>ς</w:t>
      </w:r>
      <w:r>
        <w:rPr>
          <w:lang w:eastAsia="el-GR"/>
        </w:rPr>
        <w:t xml:space="preserve"> χαρτογράφηση </w:t>
      </w:r>
      <w:r w:rsidR="00C30476">
        <w:rPr>
          <w:lang w:eastAsia="el-GR"/>
        </w:rPr>
        <w:t xml:space="preserve">του φαινομένου </w:t>
      </w:r>
      <w:r>
        <w:rPr>
          <w:lang w:eastAsia="el-GR"/>
        </w:rPr>
        <w:t xml:space="preserve">και </w:t>
      </w:r>
      <w:r w:rsidR="00061409">
        <w:rPr>
          <w:lang w:eastAsia="el-GR"/>
        </w:rPr>
        <w:t xml:space="preserve">η </w:t>
      </w:r>
      <w:r>
        <w:rPr>
          <w:lang w:eastAsia="el-GR"/>
        </w:rPr>
        <w:t>ανάλυση των χαρακτηριστικών των πληττόμενων νοικοκυριών</w:t>
      </w:r>
      <w:r w:rsidR="00E5434A">
        <w:rPr>
          <w:lang w:eastAsia="el-GR"/>
        </w:rPr>
        <w:t>,</w:t>
      </w:r>
      <w:r>
        <w:rPr>
          <w:lang w:eastAsia="el-GR"/>
        </w:rPr>
        <w:t xml:space="preserve"> με σκοπό την ορθότερη κατανόηση του φαινομένου και τον αποτελεσματικότερο σχεδιασμό και εφαρμογή των απαραίτητων μέτρων </w:t>
      </w:r>
      <w:r w:rsidR="00453F33">
        <w:rPr>
          <w:lang w:eastAsia="el-GR"/>
        </w:rPr>
        <w:t>και πολιτικών</w:t>
      </w:r>
      <w:r>
        <w:rPr>
          <w:lang w:eastAsia="el-GR"/>
        </w:rPr>
        <w:t>.</w:t>
      </w:r>
    </w:p>
    <w:p w14:paraId="7CA98BF6" w14:textId="743A15C5" w:rsidR="00B92617" w:rsidRDefault="002C70FF" w:rsidP="000D476A">
      <w:pPr>
        <w:spacing w:before="120" w:after="120"/>
        <w:jc w:val="both"/>
      </w:pPr>
      <w:r>
        <w:rPr>
          <w:lang w:eastAsia="el-GR"/>
        </w:rPr>
        <w:t>Γ</w:t>
      </w:r>
      <w:r>
        <w:t>ια την κατάρτιση του Σχεδίου Δράσης κρίσιμη ήταν η συνεισφορά  εμπλεκομένων μερών μέσω πρωτοβουλιών διαβούλευσης, οι οποίες διοργανώθηκαν με σκοπό τη διεξαγωγή ενός αποδοτικού διαλόγου με εκπροσώπους</w:t>
      </w:r>
      <w:r w:rsidR="00F55752">
        <w:t>,</w:t>
      </w:r>
      <w:r>
        <w:t xml:space="preserve"> τόσο από την επιστημονική κοινότητα, όσο και από διαφόρους κοινωνικούς φορείς.</w:t>
      </w:r>
    </w:p>
    <w:p w14:paraId="1B4B9C46" w14:textId="77777777" w:rsidR="009D1C94" w:rsidRPr="00B378A1" w:rsidRDefault="009D1C94" w:rsidP="000D476A">
      <w:pPr>
        <w:spacing w:before="120" w:after="120"/>
        <w:jc w:val="both"/>
      </w:pPr>
    </w:p>
    <w:p w14:paraId="31B6085E" w14:textId="77777777" w:rsidR="002C70FF" w:rsidRPr="00B63097" w:rsidRDefault="002C70FF" w:rsidP="009B360E"/>
    <w:p w14:paraId="31B6085F" w14:textId="77777777" w:rsidR="002C70FF" w:rsidRPr="00202CB5" w:rsidRDefault="002C70FF" w:rsidP="009B360E">
      <w:pPr>
        <w:sectPr w:rsidR="002C70FF" w:rsidRPr="00202CB5" w:rsidSect="00956B0B">
          <w:pgSz w:w="11906" w:h="16838"/>
          <w:pgMar w:top="1440" w:right="1558" w:bottom="1440" w:left="1800" w:header="708" w:footer="708" w:gutter="0"/>
          <w:cols w:space="708"/>
          <w:docGrid w:linePitch="360"/>
        </w:sectPr>
      </w:pPr>
    </w:p>
    <w:p w14:paraId="31B60860" w14:textId="77777777" w:rsidR="002C70FF" w:rsidRPr="004876A5" w:rsidRDefault="002C70FF" w:rsidP="008504D9">
      <w:pPr>
        <w:pStyle w:val="1"/>
        <w:numPr>
          <w:ilvl w:val="0"/>
          <w:numId w:val="1"/>
        </w:numPr>
        <w:spacing w:before="240" w:after="240"/>
        <w:rPr>
          <w:rFonts w:ascii="Calibri" w:hAnsi="Calibri" w:cs="Calibri"/>
          <w:color w:val="002060"/>
        </w:rPr>
      </w:pPr>
      <w:bookmarkStart w:id="1" w:name="_Toc214271389"/>
      <w:r w:rsidRPr="004876A5">
        <w:rPr>
          <w:rFonts w:ascii="Calibri" w:hAnsi="Calibri" w:cs="Calibri"/>
          <w:color w:val="002060"/>
        </w:rPr>
        <w:lastRenderedPageBreak/>
        <w:t xml:space="preserve">Γενικό πλαίσιο και στόχοι </w:t>
      </w:r>
      <w:r>
        <w:rPr>
          <w:rFonts w:ascii="Calibri" w:hAnsi="Calibri" w:cs="Calibri"/>
          <w:color w:val="002060"/>
        </w:rPr>
        <w:t>Σ</w:t>
      </w:r>
      <w:r w:rsidRPr="004876A5">
        <w:rPr>
          <w:rFonts w:ascii="Calibri" w:hAnsi="Calibri" w:cs="Calibri"/>
          <w:color w:val="002060"/>
        </w:rPr>
        <w:t xml:space="preserve">χεδίου </w:t>
      </w:r>
      <w:r>
        <w:rPr>
          <w:rFonts w:ascii="Calibri" w:hAnsi="Calibri" w:cs="Calibri"/>
          <w:color w:val="002060"/>
        </w:rPr>
        <w:t>Δ</w:t>
      </w:r>
      <w:r w:rsidRPr="004876A5">
        <w:rPr>
          <w:rFonts w:ascii="Calibri" w:hAnsi="Calibri" w:cs="Calibri"/>
          <w:color w:val="002060"/>
        </w:rPr>
        <w:t>ράσης</w:t>
      </w:r>
      <w:bookmarkEnd w:id="1"/>
    </w:p>
    <w:p w14:paraId="31B60861" w14:textId="77777777" w:rsidR="002C70FF" w:rsidRPr="00A1423E" w:rsidRDefault="002C70FF" w:rsidP="00A1423E">
      <w:pPr>
        <w:pStyle w:val="2"/>
        <w:numPr>
          <w:ilvl w:val="1"/>
          <w:numId w:val="1"/>
        </w:numPr>
        <w:spacing w:before="120" w:after="120"/>
        <w:ind w:left="1077"/>
        <w:rPr>
          <w:rFonts w:ascii="Calibri" w:hAnsi="Calibri" w:cs="Calibri"/>
          <w:color w:val="002060"/>
        </w:rPr>
      </w:pPr>
      <w:bookmarkStart w:id="2" w:name="_Toc214271390"/>
      <w:r>
        <w:rPr>
          <w:rFonts w:ascii="Calibri" w:hAnsi="Calibri" w:cs="Calibri"/>
          <w:color w:val="002060"/>
        </w:rPr>
        <w:t>Ευρωπαϊκό πλαίσιο πολιτικής</w:t>
      </w:r>
      <w:bookmarkEnd w:id="2"/>
    </w:p>
    <w:p w14:paraId="31B60862" w14:textId="0B3CFA69" w:rsidR="002C70FF" w:rsidRDefault="002C70FF" w:rsidP="009E3D3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Η ενεργειακή</w:t>
      </w:r>
      <w:r w:rsidRPr="001C05BE">
        <w:rPr>
          <w:rFonts w:ascii="Calibri" w:hAnsi="Calibri" w:cs="Calibri"/>
          <w:sz w:val="22"/>
          <w:szCs w:val="22"/>
        </w:rPr>
        <w:t xml:space="preserve"> </w:t>
      </w:r>
      <w:r>
        <w:rPr>
          <w:rFonts w:ascii="Calibri" w:hAnsi="Calibri" w:cs="Calibri"/>
          <w:sz w:val="22"/>
          <w:szCs w:val="22"/>
        </w:rPr>
        <w:t>ένδεια</w:t>
      </w:r>
      <w:r w:rsidRPr="009E3D34">
        <w:rPr>
          <w:rFonts w:ascii="Calibri" w:hAnsi="Calibri" w:cs="Calibri"/>
          <w:sz w:val="22"/>
          <w:szCs w:val="22"/>
        </w:rPr>
        <w:t xml:space="preserve"> αποτελεί </w:t>
      </w:r>
      <w:r>
        <w:rPr>
          <w:rFonts w:ascii="Calibri" w:hAnsi="Calibri" w:cs="Calibri"/>
          <w:sz w:val="22"/>
          <w:szCs w:val="22"/>
        </w:rPr>
        <w:t xml:space="preserve">ένα ιδιαίτερα σοβαρό </w:t>
      </w:r>
      <w:r w:rsidRPr="009E3D34">
        <w:rPr>
          <w:rFonts w:ascii="Calibri" w:hAnsi="Calibri" w:cs="Calibri"/>
          <w:sz w:val="22"/>
          <w:szCs w:val="22"/>
        </w:rPr>
        <w:t xml:space="preserve">φαινόμενο </w:t>
      </w:r>
      <w:r>
        <w:rPr>
          <w:rFonts w:ascii="Calibri" w:hAnsi="Calibri" w:cs="Calibri"/>
          <w:sz w:val="22"/>
          <w:szCs w:val="22"/>
        </w:rPr>
        <w:t xml:space="preserve">σε ευρωπαϊκό επίπεδο, το οποίο πλήττει πάνω από 50 εκατ. </w:t>
      </w:r>
      <w:r w:rsidRPr="009E3D34">
        <w:rPr>
          <w:rFonts w:ascii="Calibri" w:hAnsi="Calibri" w:cs="Calibri"/>
          <w:sz w:val="22"/>
          <w:szCs w:val="22"/>
        </w:rPr>
        <w:t xml:space="preserve">πολίτες </w:t>
      </w:r>
      <w:r>
        <w:rPr>
          <w:rFonts w:ascii="Calibri" w:hAnsi="Calibri" w:cs="Calibri"/>
          <w:sz w:val="22"/>
          <w:szCs w:val="22"/>
        </w:rPr>
        <w:t xml:space="preserve">κυρίως λόγω της χαμηλής ενεργειακής απόδοσης των </w:t>
      </w:r>
      <w:r w:rsidRPr="009E7330">
        <w:rPr>
          <w:rFonts w:ascii="Calibri" w:hAnsi="Calibri" w:cs="Calibri"/>
          <w:sz w:val="22"/>
          <w:szCs w:val="22"/>
        </w:rPr>
        <w:t>κτιρίων κατοικίας</w:t>
      </w:r>
      <w:r>
        <w:rPr>
          <w:rFonts w:ascii="Calibri" w:hAnsi="Calibri" w:cs="Calibri"/>
          <w:sz w:val="22"/>
          <w:szCs w:val="22"/>
        </w:rPr>
        <w:t xml:space="preserve"> και των οικιακών συσκευών, του υψηλού κόστους αγοράς των ενεργειακών προϊόντων, των χαμηλών εισοδημάτων και των ιδιαίτερων αναγκών των νοικοκυριών (Ε</w:t>
      </w:r>
      <w:r>
        <w:rPr>
          <w:rFonts w:ascii="Calibri" w:hAnsi="Calibri" w:cs="Calibri"/>
          <w:sz w:val="22"/>
          <w:szCs w:val="22"/>
          <w:lang w:val="en-US"/>
        </w:rPr>
        <w:t>C</w:t>
      </w:r>
      <w:r w:rsidRPr="001C05BE">
        <w:rPr>
          <w:rFonts w:ascii="Calibri" w:hAnsi="Calibri" w:cs="Calibri"/>
          <w:sz w:val="22"/>
          <w:szCs w:val="22"/>
        </w:rPr>
        <w:t>, 2020)</w:t>
      </w:r>
      <w:r>
        <w:rPr>
          <w:rStyle w:val="ab"/>
          <w:rFonts w:ascii="Calibri" w:hAnsi="Calibri" w:cs="Calibri"/>
          <w:sz w:val="22"/>
          <w:szCs w:val="22"/>
        </w:rPr>
        <w:footnoteReference w:id="1"/>
      </w:r>
      <w:r>
        <w:rPr>
          <w:rFonts w:ascii="Calibri" w:hAnsi="Calibri" w:cs="Calibri"/>
          <w:sz w:val="22"/>
          <w:szCs w:val="22"/>
        </w:rPr>
        <w:t>.</w:t>
      </w:r>
    </w:p>
    <w:p w14:paraId="31B60863" w14:textId="3F5E7B4B" w:rsidR="002C70FF" w:rsidRPr="007A3009" w:rsidRDefault="002C70FF" w:rsidP="009E3D34">
      <w:pPr>
        <w:pStyle w:val="Web"/>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 xml:space="preserve">Η Ευρωπαϊκή Επιτροπή έχει ήδη αναγνωρίσει την ενεργειακή ένδεια ως ένα ζήτημα μείζονος σημασίας και έχει δεσμευτεί για την προστασία των ευάλωτων νοικοκυριών. Η ενεργειακή ένδεια αποτελεί προτεραιότητα στο πλαίσιο της </w:t>
      </w:r>
      <w:r w:rsidR="00404CBA">
        <w:rPr>
          <w:rFonts w:ascii="Calibri" w:hAnsi="Calibri" w:cs="Calibri"/>
          <w:sz w:val="22"/>
          <w:szCs w:val="22"/>
        </w:rPr>
        <w:t>Ευρωπαϊκής πολιτικής</w:t>
      </w:r>
      <w:r w:rsidR="00F55752">
        <w:rPr>
          <w:rFonts w:ascii="Calibri" w:hAnsi="Calibri" w:cs="Calibri"/>
          <w:sz w:val="22"/>
          <w:szCs w:val="22"/>
        </w:rPr>
        <w:t>,</w:t>
      </w:r>
      <w:r w:rsidR="00404CBA">
        <w:rPr>
          <w:rFonts w:ascii="Calibri" w:hAnsi="Calibri" w:cs="Calibri"/>
          <w:sz w:val="22"/>
          <w:szCs w:val="22"/>
        </w:rPr>
        <w:t xml:space="preserve"> </w:t>
      </w:r>
      <w:r w:rsidRPr="007A3009">
        <w:rPr>
          <w:rFonts w:ascii="Calibri" w:hAnsi="Calibri" w:cs="Calibri"/>
          <w:sz w:val="22"/>
          <w:szCs w:val="22"/>
        </w:rPr>
        <w:t xml:space="preserve">απαιτώντας από τα Κράτη-Μέλη να παρακολουθούν συστηματικά την εξέλιξη </w:t>
      </w:r>
      <w:r>
        <w:rPr>
          <w:rFonts w:ascii="Calibri" w:hAnsi="Calibri" w:cs="Calibri"/>
          <w:sz w:val="22"/>
          <w:szCs w:val="22"/>
        </w:rPr>
        <w:t>του φαινομένου στη χώρα</w:t>
      </w:r>
      <w:r w:rsidRPr="007A3009">
        <w:rPr>
          <w:rFonts w:ascii="Calibri" w:hAnsi="Calibri" w:cs="Calibri"/>
          <w:sz w:val="22"/>
          <w:szCs w:val="22"/>
        </w:rPr>
        <w:t xml:space="preserve"> τους και να καθορίσουν </w:t>
      </w:r>
      <w:r>
        <w:rPr>
          <w:rFonts w:ascii="Calibri" w:hAnsi="Calibri" w:cs="Calibri"/>
          <w:sz w:val="22"/>
          <w:szCs w:val="22"/>
        </w:rPr>
        <w:t xml:space="preserve">έναν </w:t>
      </w:r>
      <w:r w:rsidRPr="007A3009">
        <w:rPr>
          <w:rFonts w:ascii="Calibri" w:hAnsi="Calibri" w:cs="Calibri"/>
          <w:sz w:val="22"/>
          <w:szCs w:val="22"/>
        </w:rPr>
        <w:t xml:space="preserve">εθνικό στόχο για την </w:t>
      </w:r>
      <w:r w:rsidR="00E91A15" w:rsidRPr="007A3009">
        <w:rPr>
          <w:rFonts w:ascii="Calibri" w:hAnsi="Calibri" w:cs="Calibri"/>
          <w:sz w:val="22"/>
          <w:szCs w:val="22"/>
        </w:rPr>
        <w:t>καταπολέμησ</w:t>
      </w:r>
      <w:r w:rsidR="00E91A15">
        <w:rPr>
          <w:rFonts w:ascii="Calibri" w:hAnsi="Calibri" w:cs="Calibri"/>
          <w:sz w:val="22"/>
          <w:szCs w:val="22"/>
        </w:rPr>
        <w:t>ή</w:t>
      </w:r>
      <w:r w:rsidR="00E91A15" w:rsidRPr="007A3009">
        <w:rPr>
          <w:rFonts w:ascii="Calibri" w:hAnsi="Calibri" w:cs="Calibri"/>
          <w:sz w:val="22"/>
          <w:szCs w:val="22"/>
        </w:rPr>
        <w:t xml:space="preserve"> </w:t>
      </w:r>
      <w:r w:rsidRPr="007A3009">
        <w:rPr>
          <w:rFonts w:ascii="Calibri" w:hAnsi="Calibri" w:cs="Calibri"/>
          <w:sz w:val="22"/>
          <w:szCs w:val="22"/>
        </w:rPr>
        <w:t>του.</w:t>
      </w:r>
    </w:p>
    <w:p w14:paraId="31B60864" w14:textId="22319AF0" w:rsidR="002C70FF" w:rsidRPr="004A387A" w:rsidRDefault="002C70FF" w:rsidP="00E07495">
      <w:pPr>
        <w:pStyle w:val="Web"/>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Πιο συγκεκριμένα, στο πλαίσιο της Οδηγίας 2019/944/EE</w:t>
      </w:r>
      <w:r w:rsidR="00CC1B10">
        <w:rPr>
          <w:rFonts w:ascii="Calibri" w:hAnsi="Calibri" w:cs="Calibri"/>
          <w:sz w:val="22"/>
          <w:szCs w:val="22"/>
        </w:rPr>
        <w:t>,</w:t>
      </w:r>
      <w:r w:rsidRPr="007A3009">
        <w:rPr>
          <w:rFonts w:ascii="Calibri" w:hAnsi="Calibri" w:cs="Calibri"/>
          <w:sz w:val="22"/>
          <w:szCs w:val="22"/>
        </w:rPr>
        <w:t xml:space="preserve"> που αφορά στους κοινούς κανόνες για την εσωτερική αγορά ηλεκτρικής ενέργειας και την τροποποίηση της </w:t>
      </w:r>
      <w:r>
        <w:rPr>
          <w:rFonts w:ascii="Calibri" w:hAnsi="Calibri" w:cs="Calibri"/>
          <w:sz w:val="22"/>
          <w:szCs w:val="22"/>
        </w:rPr>
        <w:t>Ο</w:t>
      </w:r>
      <w:r w:rsidRPr="007A3009">
        <w:rPr>
          <w:rFonts w:ascii="Calibri" w:hAnsi="Calibri" w:cs="Calibri"/>
          <w:sz w:val="22"/>
          <w:szCs w:val="22"/>
        </w:rPr>
        <w:t>δηγίας 2012/27/ΕΕ</w:t>
      </w:r>
      <w:r w:rsidR="00CC1B10">
        <w:rPr>
          <w:rFonts w:ascii="Calibri" w:hAnsi="Calibri" w:cs="Calibri"/>
          <w:sz w:val="22"/>
          <w:szCs w:val="22"/>
        </w:rPr>
        <w:t>,</w:t>
      </w:r>
      <w:r w:rsidRPr="007A3009">
        <w:rPr>
          <w:rFonts w:ascii="Calibri" w:hAnsi="Calibri" w:cs="Calibri"/>
          <w:sz w:val="22"/>
          <w:szCs w:val="22"/>
        </w:rPr>
        <w:t xml:space="preserve"> προβλέπεται ότι τα Κράτη-Μέλη λαμβάνουν τα αναγκαία μέτρα προκειμένου να προστατεύουν τους ευάλωτους και ενεργειακά φτωχούς καταναλωτές στο πλαίσιο της εσωτερικής αγοράς ηλεκτρικής ενέργειας. Τα μέτρα αυτά είναι δυνατό να διαφέρουν ανάλογα με τις ιδιαίτερες συνθήκες που επικρατούν σε κάθε Κράτος-Μέλος και να περιλαμβάνουν μέτρα κοινωνικής ή ενεργειακής πολιτικής για την πληρωμή των λογαριασμών ηλεκτρικού ρεύματος, τη δρομολόγηση επενδύσεων με σκοπό τη βελτίωση της ενεργειακής απόδοσης ή για την προστασία των καταναλωτών</w:t>
      </w:r>
      <w:r w:rsidR="007C5E35">
        <w:rPr>
          <w:rFonts w:ascii="Calibri" w:hAnsi="Calibri" w:cs="Calibri"/>
          <w:sz w:val="22"/>
          <w:szCs w:val="22"/>
        </w:rPr>
        <w:t>,</w:t>
      </w:r>
      <w:r w:rsidR="007C5E35" w:rsidRPr="007C5E35">
        <w:rPr>
          <w:rFonts w:ascii="Calibri" w:hAnsi="Calibri" w:cs="Calibri"/>
          <w:sz w:val="22"/>
          <w:szCs w:val="22"/>
        </w:rPr>
        <w:t xml:space="preserve"> </w:t>
      </w:r>
      <w:r w:rsidR="007C5E35" w:rsidRPr="007A3009">
        <w:rPr>
          <w:rFonts w:ascii="Calibri" w:hAnsi="Calibri" w:cs="Calibri"/>
          <w:sz w:val="22"/>
          <w:szCs w:val="22"/>
        </w:rPr>
        <w:t>ή με άλλα μέτρα</w:t>
      </w:r>
      <w:r w:rsidR="00F55752">
        <w:rPr>
          <w:rFonts w:ascii="Calibri" w:hAnsi="Calibri" w:cs="Calibri"/>
          <w:sz w:val="22"/>
          <w:szCs w:val="22"/>
        </w:rPr>
        <w:t>,</w:t>
      </w:r>
      <w:r w:rsidR="007C5E35" w:rsidRPr="007A3009">
        <w:rPr>
          <w:rFonts w:ascii="Calibri" w:hAnsi="Calibri" w:cs="Calibri"/>
          <w:sz w:val="22"/>
          <w:szCs w:val="22"/>
        </w:rPr>
        <w:t xml:space="preserve"> εκτός των δημόσιων παρεμβάσεων στον καθορισμό των τιμών για την προμήθεια ηλεκτρικής ενέργειας</w:t>
      </w:r>
      <w:r w:rsidRPr="007A3009">
        <w:rPr>
          <w:rFonts w:ascii="Calibri" w:hAnsi="Calibri" w:cs="Calibri"/>
          <w:sz w:val="22"/>
          <w:szCs w:val="22"/>
        </w:rPr>
        <w:t xml:space="preserve">. Για την περίπτωση κατά την οποία παρέχεται καθολική υπηρεσία, τα μέτρα μπορούν να </w:t>
      </w:r>
      <w:r>
        <w:rPr>
          <w:rFonts w:ascii="Calibri" w:hAnsi="Calibri" w:cs="Calibri"/>
          <w:sz w:val="22"/>
          <w:szCs w:val="22"/>
        </w:rPr>
        <w:t>διαφοροποιούνται</w:t>
      </w:r>
      <w:r w:rsidRPr="007A3009">
        <w:rPr>
          <w:rFonts w:ascii="Calibri" w:hAnsi="Calibri" w:cs="Calibri"/>
          <w:sz w:val="22"/>
          <w:szCs w:val="22"/>
        </w:rPr>
        <w:t xml:space="preserve"> αναλόγως αν </w:t>
      </w:r>
      <w:r>
        <w:rPr>
          <w:rFonts w:ascii="Calibri" w:hAnsi="Calibri" w:cs="Calibri"/>
          <w:sz w:val="22"/>
          <w:szCs w:val="22"/>
        </w:rPr>
        <w:t>αυτά</w:t>
      </w:r>
      <w:r w:rsidRPr="007A3009">
        <w:rPr>
          <w:rFonts w:ascii="Calibri" w:hAnsi="Calibri" w:cs="Calibri"/>
          <w:sz w:val="22"/>
          <w:szCs w:val="22"/>
        </w:rPr>
        <w:t xml:space="preserve"> απευθύνονται σε οικιακούς πελάτες ή σε μικρομεσαίες επιχειρήσεις.</w:t>
      </w:r>
    </w:p>
    <w:p w14:paraId="5D6615E1" w14:textId="30624F5A" w:rsidR="007549C4" w:rsidRDefault="00F55752" w:rsidP="007549C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Κ</w:t>
      </w:r>
      <w:r w:rsidR="002C70FF" w:rsidRPr="007A3009">
        <w:rPr>
          <w:rFonts w:ascii="Calibri" w:hAnsi="Calibri" w:cs="Calibri"/>
          <w:sz w:val="22"/>
          <w:szCs w:val="22"/>
        </w:rPr>
        <w:t>ατά παρέκκλιση</w:t>
      </w:r>
      <w:r>
        <w:rPr>
          <w:rFonts w:ascii="Calibri" w:hAnsi="Calibri" w:cs="Calibri"/>
          <w:sz w:val="22"/>
          <w:szCs w:val="22"/>
        </w:rPr>
        <w:t>,</w:t>
      </w:r>
      <w:r w:rsidR="002C70FF" w:rsidRPr="007A3009">
        <w:rPr>
          <w:rFonts w:ascii="Calibri" w:hAnsi="Calibri" w:cs="Calibri"/>
          <w:sz w:val="22"/>
          <w:szCs w:val="22"/>
        </w:rPr>
        <w:t xml:space="preserve"> τα Κράτη-Μέλη δύνανται να εφαρμόζουν δημόσιες παρεμβάσεις όσον αφορά τον καθορισμό των τιμών για την προμήθεια ηλεκτρικής ενέργειας σε ενεργειακά φτωχούς ή ευάλωτους οικιακούς πελάτες βάσει των ακόλουθων προϋποθέσεων</w:t>
      </w:r>
      <w:r w:rsidR="007549C4">
        <w:rPr>
          <w:rStyle w:val="ab"/>
          <w:rFonts w:ascii="Calibri" w:hAnsi="Calibri"/>
          <w:sz w:val="22"/>
          <w:szCs w:val="22"/>
        </w:rPr>
        <w:footnoteReference w:id="2"/>
      </w:r>
      <w:r w:rsidR="007549C4">
        <w:rPr>
          <w:rFonts w:ascii="Calibri" w:hAnsi="Calibri" w:cs="Calibri"/>
          <w:sz w:val="22"/>
          <w:szCs w:val="22"/>
        </w:rPr>
        <w:t>:</w:t>
      </w:r>
    </w:p>
    <w:p w14:paraId="31B60867" w14:textId="7C7631EC" w:rsidR="002C70FF" w:rsidRPr="007A3009" w:rsidRDefault="002C70FF" w:rsidP="007549C4">
      <w:pPr>
        <w:pStyle w:val="Web"/>
        <w:numPr>
          <w:ilvl w:val="0"/>
          <w:numId w:val="17"/>
        </w:numPr>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 xml:space="preserve">Να επιδιώκουν το γενικό οικονομικό συμφέρον και </w:t>
      </w:r>
      <w:r>
        <w:rPr>
          <w:rFonts w:ascii="Calibri" w:hAnsi="Calibri" w:cs="Calibri"/>
          <w:sz w:val="22"/>
          <w:szCs w:val="22"/>
        </w:rPr>
        <w:t>να μην</w:t>
      </w:r>
      <w:r w:rsidRPr="007A3009">
        <w:rPr>
          <w:rFonts w:ascii="Calibri" w:hAnsi="Calibri" w:cs="Calibri"/>
          <w:sz w:val="22"/>
          <w:szCs w:val="22"/>
        </w:rPr>
        <w:t xml:space="preserve"> υπερβαίνουν το μέτρο πολιτικής που είναι αναγκαίο για την επίτευξη του επιδιωκόμενου γενικού οικονομικού συμφέροντος.</w:t>
      </w:r>
    </w:p>
    <w:p w14:paraId="31B60868" w14:textId="77777777" w:rsidR="002C70FF" w:rsidRPr="007A3009" w:rsidRDefault="002C70FF" w:rsidP="003D2BCB">
      <w:pPr>
        <w:pStyle w:val="Web"/>
        <w:numPr>
          <w:ilvl w:val="0"/>
          <w:numId w:val="17"/>
        </w:numPr>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Να ορίζονται σαφώς, να είναι διαφανείς, να μην εισάγουν διακρίσεις και να είναι επαληθεύσιμες.</w:t>
      </w:r>
    </w:p>
    <w:p w14:paraId="31B60869" w14:textId="77777777" w:rsidR="002C70FF" w:rsidRPr="007A3009" w:rsidRDefault="002C70FF" w:rsidP="003D2BCB">
      <w:pPr>
        <w:pStyle w:val="Web"/>
        <w:numPr>
          <w:ilvl w:val="0"/>
          <w:numId w:val="17"/>
        </w:numPr>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Να διασφαλίζουν την ισότιμη πρόσβαση των επιχειρήσεων ηλεκτρικής ενέργειας στους πελάτες.</w:t>
      </w:r>
    </w:p>
    <w:p w14:paraId="31B6086A" w14:textId="77777777" w:rsidR="002C70FF" w:rsidRPr="007A3009" w:rsidRDefault="002C70FF" w:rsidP="003D2BCB">
      <w:pPr>
        <w:pStyle w:val="Web"/>
        <w:numPr>
          <w:ilvl w:val="0"/>
          <w:numId w:val="17"/>
        </w:numPr>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Να είναι περιορισμένης χρονικής διάρκειας και αναλογικές ως προς τους δικαιούχους.</w:t>
      </w:r>
    </w:p>
    <w:p w14:paraId="31B6086B" w14:textId="77777777" w:rsidR="002C70FF" w:rsidRPr="007A3009" w:rsidRDefault="002C70FF" w:rsidP="003D2BCB">
      <w:pPr>
        <w:pStyle w:val="Web"/>
        <w:numPr>
          <w:ilvl w:val="0"/>
          <w:numId w:val="17"/>
        </w:numPr>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lastRenderedPageBreak/>
        <w:t>Να μην οδηγούν σε επιπρόσθετο κόστος για τους συμμετέχοντες στην αγορά κατά τρόπο που εισάγει διακρίσεις.</w:t>
      </w:r>
    </w:p>
    <w:p w14:paraId="503A2F70" w14:textId="19A020EE" w:rsidR="007549C4" w:rsidRDefault="007549C4" w:rsidP="005E122D">
      <w:pPr>
        <w:pStyle w:val="Web"/>
        <w:numPr>
          <w:ilvl w:val="0"/>
          <w:numId w:val="17"/>
        </w:numPr>
        <w:spacing w:before="120" w:beforeAutospacing="0" w:after="120" w:afterAutospacing="0" w:line="276" w:lineRule="auto"/>
        <w:jc w:val="both"/>
        <w:rPr>
          <w:rFonts w:ascii="Calibri" w:hAnsi="Calibri" w:cs="Calibri"/>
          <w:sz w:val="22"/>
          <w:szCs w:val="22"/>
        </w:rPr>
      </w:pPr>
      <w:r w:rsidRPr="007549C4">
        <w:rPr>
          <w:rFonts w:ascii="Calibri" w:hAnsi="Calibri" w:cs="Calibri"/>
          <w:sz w:val="22"/>
          <w:szCs w:val="22"/>
        </w:rPr>
        <w:t>Να εκτιμούν τον αριθμό των νοικοκυριών που πλήττονται από ενεργειακή φτώχεια, λαμβάνοντας υπόψη τις αναγκαίες εγχώριες ενεργειακές υπηρεσίες που χρειάζονται για να διασφαλίζονται τα βασικά πρότυπα διαβίωσης στο αντίστοιχο εθνικό πλαίσιο, την υφιστάμενη κοινωνική πολιτική και άλλες σχετικές πολιτικές, καθώς και τις ενδεικτικές κατευθύνσεις της Επιτροπής για τους δείκτες που σχετίζονται με την ενεργειακή φτώχεια</w:t>
      </w:r>
      <w:r>
        <w:rPr>
          <w:rStyle w:val="ab"/>
          <w:rFonts w:ascii="Calibri" w:hAnsi="Calibri"/>
          <w:sz w:val="22"/>
          <w:szCs w:val="22"/>
        </w:rPr>
        <w:footnoteReference w:id="3"/>
      </w:r>
      <w:r>
        <w:rPr>
          <w:rFonts w:ascii="Calibri" w:hAnsi="Calibri" w:cs="Calibri"/>
          <w:sz w:val="22"/>
          <w:szCs w:val="22"/>
        </w:rPr>
        <w:t>.</w:t>
      </w:r>
    </w:p>
    <w:p w14:paraId="1A09AA2E" w14:textId="4A2CA6B2" w:rsidR="00A906E0" w:rsidRPr="00A906E0" w:rsidRDefault="00A906E0" w:rsidP="00A906E0">
      <w:pPr>
        <w:pStyle w:val="Web"/>
        <w:numPr>
          <w:ilvl w:val="0"/>
          <w:numId w:val="17"/>
        </w:numPr>
        <w:spacing w:before="0" w:beforeAutospacing="0" w:after="120" w:afterAutospacing="0"/>
        <w:jc w:val="both"/>
        <w:rPr>
          <w:rFonts w:ascii="Calibri" w:hAnsi="Calibri" w:cs="Calibri"/>
          <w:sz w:val="22"/>
          <w:szCs w:val="22"/>
        </w:rPr>
      </w:pPr>
      <w:r w:rsidRPr="00A906E0">
        <w:rPr>
          <w:rFonts w:ascii="Calibri" w:hAnsi="Calibri" w:cs="Calibri"/>
          <w:sz w:val="22"/>
          <w:szCs w:val="22"/>
        </w:rPr>
        <w:t>Να περιλαμβάν</w:t>
      </w:r>
      <w:r>
        <w:rPr>
          <w:rFonts w:ascii="Calibri" w:hAnsi="Calibri" w:cs="Calibri"/>
          <w:sz w:val="22"/>
          <w:szCs w:val="22"/>
        </w:rPr>
        <w:t>ουν</w:t>
      </w:r>
      <w:r w:rsidRPr="00A906E0">
        <w:rPr>
          <w:rFonts w:ascii="Calibri" w:hAnsi="Calibri" w:cs="Calibri"/>
          <w:sz w:val="22"/>
          <w:szCs w:val="22"/>
        </w:rPr>
        <w:t xml:space="preserve"> στην ολοκληρωμένη εθνική έκθεση προόδου για την ενέργεια και το κλίμα:</w:t>
      </w:r>
    </w:p>
    <w:p w14:paraId="15CE479B" w14:textId="4BF23FF8" w:rsidR="00A906E0" w:rsidRPr="00A906E0" w:rsidRDefault="00A906E0" w:rsidP="00A906E0">
      <w:pPr>
        <w:pStyle w:val="Web"/>
        <w:spacing w:before="0" w:beforeAutospacing="0" w:after="120" w:afterAutospacing="0"/>
        <w:ind w:left="1440"/>
        <w:jc w:val="both"/>
        <w:rPr>
          <w:rFonts w:ascii="Calibri" w:hAnsi="Calibri" w:cs="Calibri"/>
          <w:sz w:val="22"/>
          <w:szCs w:val="22"/>
        </w:rPr>
      </w:pPr>
      <w:r w:rsidRPr="00A906E0">
        <w:rPr>
          <w:rFonts w:ascii="Calibri" w:hAnsi="Calibri" w:cs="Calibri"/>
          <w:sz w:val="22"/>
          <w:szCs w:val="22"/>
        </w:rPr>
        <w:t>α) πληροφορίες σχετικά με την πρόοδο προς τον εθνικό ενδεικτικό στόχο μείωσης του αριθμού των νοικοκυριών σε ενεργειακή φτώχεια και</w:t>
      </w:r>
    </w:p>
    <w:p w14:paraId="74E5AD9A" w14:textId="24B921E3" w:rsidR="00A906E0" w:rsidRPr="007549C4" w:rsidRDefault="00A906E0" w:rsidP="00A906E0">
      <w:pPr>
        <w:pStyle w:val="Web"/>
        <w:spacing w:before="0" w:beforeAutospacing="0" w:after="120" w:afterAutospacing="0"/>
        <w:ind w:left="1440"/>
        <w:jc w:val="both"/>
        <w:rPr>
          <w:rFonts w:ascii="Calibri" w:hAnsi="Calibri" w:cs="Calibri"/>
          <w:sz w:val="22"/>
          <w:szCs w:val="22"/>
        </w:rPr>
      </w:pPr>
      <w:r w:rsidRPr="00A906E0">
        <w:rPr>
          <w:rFonts w:ascii="Calibri" w:hAnsi="Calibri" w:cs="Calibri"/>
          <w:sz w:val="22"/>
          <w:szCs w:val="22"/>
        </w:rPr>
        <w:t>β) ποσοτικές πληροφορίες σχετικά με τον αριθμό των νοικοκυριών σε</w:t>
      </w:r>
      <w:r>
        <w:rPr>
          <w:rFonts w:ascii="Calibri" w:hAnsi="Calibri" w:cs="Calibri"/>
          <w:sz w:val="22"/>
          <w:szCs w:val="22"/>
        </w:rPr>
        <w:t xml:space="preserve"> </w:t>
      </w:r>
      <w:r w:rsidRPr="00A906E0">
        <w:rPr>
          <w:rFonts w:ascii="Calibri" w:hAnsi="Calibri" w:cs="Calibri"/>
          <w:sz w:val="22"/>
          <w:szCs w:val="22"/>
        </w:rPr>
        <w:t>ενεργειακή φτώχεια και, εφόσον είναι διαθέσιμες, πληροφορίες σχετικά με τις πολιτικές και τα μέτρα για την αντιμετώπιση της ενεργειακής φτώχειας</w:t>
      </w:r>
      <w:r>
        <w:rPr>
          <w:rStyle w:val="ab"/>
          <w:rFonts w:ascii="Calibri" w:hAnsi="Calibri"/>
          <w:sz w:val="22"/>
          <w:szCs w:val="22"/>
        </w:rPr>
        <w:footnoteReference w:id="4"/>
      </w:r>
      <w:r>
        <w:rPr>
          <w:rFonts w:ascii="Calibri" w:hAnsi="Calibri" w:cs="Calibri"/>
          <w:sz w:val="22"/>
          <w:szCs w:val="22"/>
        </w:rPr>
        <w:t>.</w:t>
      </w:r>
    </w:p>
    <w:p w14:paraId="31B6086D" w14:textId="5339C1D0" w:rsidR="002C70FF" w:rsidRPr="007A3009" w:rsidRDefault="000C08B6" w:rsidP="00776838">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Τα</w:t>
      </w:r>
      <w:r w:rsidR="002C70FF" w:rsidRPr="007A3009">
        <w:rPr>
          <w:rFonts w:ascii="Calibri" w:hAnsi="Calibri" w:cs="Calibri"/>
          <w:sz w:val="22"/>
          <w:szCs w:val="22"/>
        </w:rPr>
        <w:t xml:space="preserve"> Κράτη-Μέλη πρέπει να λαμβάνουν κατάλληλα μέτρα πολιτικής για την προστασία των πελατών και, ειδικότερα, να μεριμνούν ώστε να υφίστανται επαρκείς διασφαλίσεις για την προστασία των ευάλωτων πελατών. Στο πλαίσιο αυτό, κάθε Κράτος-Μέλος</w:t>
      </w:r>
      <w:r w:rsidR="00341BE8">
        <w:rPr>
          <w:rFonts w:ascii="Calibri" w:hAnsi="Calibri" w:cs="Calibri"/>
          <w:sz w:val="22"/>
          <w:szCs w:val="22"/>
        </w:rPr>
        <w:t>, μεταξύ άλλων,</w:t>
      </w:r>
      <w:r w:rsidR="002C70FF" w:rsidRPr="007A3009">
        <w:rPr>
          <w:rFonts w:ascii="Calibri" w:hAnsi="Calibri" w:cs="Calibri"/>
          <w:sz w:val="22"/>
          <w:szCs w:val="22"/>
        </w:rPr>
        <w:t xml:space="preserve"> </w:t>
      </w:r>
      <w:r w:rsidR="002C70FF">
        <w:rPr>
          <w:rFonts w:ascii="Calibri" w:hAnsi="Calibri" w:cs="Calibri"/>
          <w:sz w:val="22"/>
          <w:szCs w:val="22"/>
        </w:rPr>
        <w:t>πρέπει να καθορίζει</w:t>
      </w:r>
      <w:r w:rsidR="002C70FF" w:rsidRPr="007A3009">
        <w:rPr>
          <w:rFonts w:ascii="Calibri" w:hAnsi="Calibri" w:cs="Calibri"/>
          <w:sz w:val="22"/>
          <w:szCs w:val="22"/>
        </w:rPr>
        <w:t xml:space="preserve"> την έννοια των ευάλωτων πελατών και </w:t>
      </w:r>
      <w:r w:rsidR="00CC1B10">
        <w:rPr>
          <w:rFonts w:ascii="Calibri" w:hAnsi="Calibri" w:cs="Calibri"/>
          <w:sz w:val="22"/>
          <w:szCs w:val="22"/>
        </w:rPr>
        <w:t>αναφορικά με την</w:t>
      </w:r>
      <w:r w:rsidR="002C70FF" w:rsidRPr="007A3009">
        <w:rPr>
          <w:rFonts w:ascii="Calibri" w:hAnsi="Calibri" w:cs="Calibri"/>
          <w:sz w:val="22"/>
          <w:szCs w:val="22"/>
        </w:rPr>
        <w:t xml:space="preserve"> απαγόρευση της αποσύνδεσης τέτοιων καταναλωτών σε κρίσιμες περιόδους. Η έννοια των ευάλωτων πελατών </w:t>
      </w:r>
      <w:r w:rsidR="002C70FF">
        <w:rPr>
          <w:rFonts w:ascii="Calibri" w:hAnsi="Calibri" w:cs="Calibri"/>
          <w:sz w:val="22"/>
          <w:szCs w:val="22"/>
        </w:rPr>
        <w:t>δύναται</w:t>
      </w:r>
      <w:r w:rsidR="002C70FF" w:rsidRPr="007A3009">
        <w:rPr>
          <w:rFonts w:ascii="Calibri" w:hAnsi="Calibri" w:cs="Calibri"/>
          <w:sz w:val="22"/>
          <w:szCs w:val="22"/>
        </w:rPr>
        <w:t xml:space="preserve"> να περιλαμβάνει τα επίπεδα εισοδήματος, το μερίδιο </w:t>
      </w:r>
      <w:r w:rsidR="0077560C" w:rsidRPr="007A3009">
        <w:rPr>
          <w:rFonts w:ascii="Calibri" w:hAnsi="Calibri" w:cs="Calibri"/>
          <w:sz w:val="22"/>
          <w:szCs w:val="22"/>
        </w:rPr>
        <w:t xml:space="preserve">του διαθέσιμου εισοδήματος </w:t>
      </w:r>
      <w:r w:rsidR="0077560C">
        <w:rPr>
          <w:rFonts w:ascii="Calibri" w:hAnsi="Calibri" w:cs="Calibri"/>
          <w:sz w:val="22"/>
          <w:szCs w:val="22"/>
        </w:rPr>
        <w:t>που διατίθεται για ενεργειακές δαπάνες</w:t>
      </w:r>
      <w:r w:rsidR="002C70FF" w:rsidRPr="007A3009">
        <w:rPr>
          <w:rFonts w:ascii="Calibri" w:hAnsi="Calibri" w:cs="Calibri"/>
          <w:sz w:val="22"/>
          <w:szCs w:val="22"/>
        </w:rPr>
        <w:t>, την ενεργειακή απόδοση των κτιρίων κατοικίας, την κρίσιμη εξάρτηση από ηλεκτρικό εξοπλισμό για λόγους υγείας, την ηλικία ή άλλα κριτήρια</w:t>
      </w:r>
      <w:r w:rsidR="007C5E35" w:rsidRPr="007A3009">
        <w:rPr>
          <w:rFonts w:ascii="Calibri" w:hAnsi="Calibri" w:cs="Calibri"/>
          <w:sz w:val="22"/>
          <w:szCs w:val="22"/>
        </w:rPr>
        <w:t>. Επισημαίνεται</w:t>
      </w:r>
      <w:r w:rsidR="0077560C">
        <w:rPr>
          <w:rFonts w:ascii="Calibri" w:hAnsi="Calibri" w:cs="Calibri"/>
          <w:sz w:val="22"/>
          <w:szCs w:val="22"/>
        </w:rPr>
        <w:t xml:space="preserve"> όμως</w:t>
      </w:r>
      <w:r w:rsidR="007C5E35" w:rsidRPr="007A3009">
        <w:rPr>
          <w:rFonts w:ascii="Calibri" w:hAnsi="Calibri" w:cs="Calibri"/>
          <w:sz w:val="22"/>
          <w:szCs w:val="22"/>
        </w:rPr>
        <w:t xml:space="preserve">, </w:t>
      </w:r>
      <w:r w:rsidR="007C5E35">
        <w:rPr>
          <w:rFonts w:ascii="Calibri" w:hAnsi="Calibri" w:cs="Calibri"/>
          <w:sz w:val="22"/>
          <w:szCs w:val="22"/>
        </w:rPr>
        <w:t xml:space="preserve">ότι </w:t>
      </w:r>
      <w:r w:rsidR="007C5E35" w:rsidRPr="007A3009">
        <w:rPr>
          <w:rFonts w:ascii="Calibri" w:hAnsi="Calibri" w:cs="Calibri"/>
          <w:sz w:val="22"/>
          <w:szCs w:val="22"/>
        </w:rPr>
        <w:t>τα συγκεκριμένα μέτρα πολιτικής δεν πρέπει σε καμία περίπτωση να παρακωλύ</w:t>
      </w:r>
      <w:r w:rsidR="007C5E35">
        <w:rPr>
          <w:rFonts w:ascii="Calibri" w:hAnsi="Calibri" w:cs="Calibri"/>
          <w:sz w:val="22"/>
          <w:szCs w:val="22"/>
        </w:rPr>
        <w:t xml:space="preserve">ουν την </w:t>
      </w:r>
      <w:r w:rsidR="007C5E35" w:rsidRPr="007A3009">
        <w:rPr>
          <w:rFonts w:ascii="Calibri" w:hAnsi="Calibri" w:cs="Calibri"/>
          <w:sz w:val="22"/>
          <w:szCs w:val="22"/>
        </w:rPr>
        <w:t xml:space="preserve">απελευθέρωση και </w:t>
      </w:r>
      <w:r w:rsidR="007C5E35">
        <w:rPr>
          <w:rFonts w:ascii="Calibri" w:hAnsi="Calibri" w:cs="Calibri"/>
          <w:sz w:val="22"/>
          <w:szCs w:val="22"/>
        </w:rPr>
        <w:t>τ</w:t>
      </w:r>
      <w:r w:rsidR="007C5E35" w:rsidRPr="007A3009">
        <w:rPr>
          <w:rFonts w:ascii="Calibri" w:hAnsi="Calibri" w:cs="Calibri"/>
          <w:sz w:val="22"/>
          <w:szCs w:val="22"/>
        </w:rPr>
        <w:t>η</w:t>
      </w:r>
      <w:r w:rsidR="007C5E35">
        <w:rPr>
          <w:rFonts w:ascii="Calibri" w:hAnsi="Calibri" w:cs="Calibri"/>
          <w:sz w:val="22"/>
          <w:szCs w:val="22"/>
        </w:rPr>
        <w:t>ν</w:t>
      </w:r>
      <w:r w:rsidR="007C5E35" w:rsidRPr="007A3009">
        <w:rPr>
          <w:rFonts w:ascii="Calibri" w:hAnsi="Calibri" w:cs="Calibri"/>
          <w:sz w:val="22"/>
          <w:szCs w:val="22"/>
        </w:rPr>
        <w:t xml:space="preserve"> εύρυθμη λειτουργία της αγοράς ενέργειας</w:t>
      </w:r>
      <w:r>
        <w:rPr>
          <w:rStyle w:val="ab"/>
          <w:rFonts w:ascii="Calibri" w:hAnsi="Calibri"/>
          <w:sz w:val="22"/>
          <w:szCs w:val="22"/>
        </w:rPr>
        <w:footnoteReference w:id="5"/>
      </w:r>
      <w:r w:rsidR="00B64036">
        <w:rPr>
          <w:rFonts w:ascii="Calibri" w:hAnsi="Calibri" w:cs="Calibri"/>
          <w:sz w:val="22"/>
          <w:szCs w:val="22"/>
        </w:rPr>
        <w:t>.</w:t>
      </w:r>
    </w:p>
    <w:p w14:paraId="31B6086F" w14:textId="2A43FA1F" w:rsidR="002C70FF" w:rsidRPr="007A3009" w:rsidRDefault="000C08B6" w:rsidP="00776838">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Τα</w:t>
      </w:r>
      <w:r w:rsidR="002C70FF" w:rsidRPr="007A3009">
        <w:rPr>
          <w:rFonts w:ascii="Calibri" w:hAnsi="Calibri" w:cs="Calibri"/>
          <w:sz w:val="22"/>
          <w:szCs w:val="22"/>
        </w:rPr>
        <w:t xml:space="preserve"> Κράτη-Μέλη </w:t>
      </w:r>
      <w:r>
        <w:rPr>
          <w:rFonts w:ascii="Calibri" w:hAnsi="Calibri" w:cs="Calibri"/>
          <w:sz w:val="22"/>
          <w:szCs w:val="22"/>
        </w:rPr>
        <w:t>οφείλουν, επίσης,</w:t>
      </w:r>
      <w:r w:rsidR="002C70FF" w:rsidRPr="007A3009">
        <w:rPr>
          <w:rFonts w:ascii="Calibri" w:hAnsi="Calibri" w:cs="Calibri"/>
          <w:sz w:val="22"/>
          <w:szCs w:val="22"/>
        </w:rPr>
        <w:t xml:space="preserve"> να καθορίσουν και να δημοσιεύσουν το σύνολο των κριτηρίων που χρησιμοποιούνται για τον εντοπισμό των νοικοκυριών, τα οποία πλήττονται από ενεργειακή ένδεια</w:t>
      </w:r>
      <w:r>
        <w:rPr>
          <w:rStyle w:val="ab"/>
          <w:rFonts w:ascii="Calibri" w:hAnsi="Calibri"/>
          <w:sz w:val="22"/>
          <w:szCs w:val="22"/>
        </w:rPr>
        <w:footnoteReference w:id="6"/>
      </w:r>
      <w:r w:rsidR="002C70FF" w:rsidRPr="007A3009">
        <w:rPr>
          <w:rFonts w:ascii="Calibri" w:hAnsi="Calibri" w:cs="Calibri"/>
          <w:sz w:val="22"/>
          <w:szCs w:val="22"/>
        </w:rPr>
        <w:t>.</w:t>
      </w:r>
    </w:p>
    <w:p w14:paraId="31B60870" w14:textId="69CD3AD3" w:rsidR="002C70FF" w:rsidRPr="007A3009" w:rsidRDefault="002C70FF" w:rsidP="001F6725">
      <w:pPr>
        <w:pStyle w:val="Web"/>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 xml:space="preserve">Η Οδηγία 2009/73/EE σχετικά με τους κοινούς κανόνες για την εσωτερική αγορά φυσικού αερίου και την κατάργηση της </w:t>
      </w:r>
      <w:r w:rsidR="00A75A46">
        <w:rPr>
          <w:rFonts w:ascii="Calibri" w:hAnsi="Calibri" w:cs="Calibri"/>
          <w:sz w:val="22"/>
          <w:szCs w:val="22"/>
        </w:rPr>
        <w:t>Ο</w:t>
      </w:r>
      <w:r w:rsidR="00A75A46" w:rsidRPr="007A3009">
        <w:rPr>
          <w:rFonts w:ascii="Calibri" w:hAnsi="Calibri" w:cs="Calibri"/>
          <w:sz w:val="22"/>
          <w:szCs w:val="22"/>
        </w:rPr>
        <w:t xml:space="preserve">δηγίας </w:t>
      </w:r>
      <w:r w:rsidRPr="007A3009">
        <w:rPr>
          <w:rFonts w:ascii="Calibri" w:hAnsi="Calibri" w:cs="Calibri"/>
          <w:sz w:val="22"/>
          <w:szCs w:val="22"/>
        </w:rPr>
        <w:t>2003/55/ΕΚ, όπως τροποποιήθηκε από την Οδηγία 2019/692/EE, περιέχει προβλέψεις για τα ενεργειακά ευάλωτα νοικοκυριά. Πιο συγκεκριμένα</w:t>
      </w:r>
      <w:r w:rsidR="00CB3CB5">
        <w:rPr>
          <w:rStyle w:val="ab"/>
          <w:rFonts w:ascii="Calibri" w:hAnsi="Calibri"/>
          <w:sz w:val="22"/>
          <w:szCs w:val="22"/>
        </w:rPr>
        <w:footnoteReference w:id="7"/>
      </w:r>
      <w:r w:rsidR="001553E0">
        <w:rPr>
          <w:rFonts w:ascii="Calibri" w:hAnsi="Calibri" w:cs="Calibri"/>
          <w:sz w:val="22"/>
          <w:szCs w:val="22"/>
        </w:rPr>
        <w:t>,</w:t>
      </w:r>
      <w:r w:rsidRPr="007A3009">
        <w:rPr>
          <w:rFonts w:ascii="Calibri" w:hAnsi="Calibri" w:cs="Calibri"/>
          <w:sz w:val="22"/>
          <w:szCs w:val="22"/>
        </w:rPr>
        <w:t xml:space="preserve"> τα Κράτη-Μέλη </w:t>
      </w:r>
      <w:r>
        <w:rPr>
          <w:rFonts w:ascii="Calibri" w:hAnsi="Calibri" w:cs="Calibri"/>
          <w:sz w:val="22"/>
          <w:szCs w:val="22"/>
        </w:rPr>
        <w:t xml:space="preserve">πρέπει να </w:t>
      </w:r>
      <w:r w:rsidRPr="007A3009">
        <w:rPr>
          <w:rFonts w:ascii="Calibri" w:hAnsi="Calibri" w:cs="Calibri"/>
          <w:sz w:val="22"/>
          <w:szCs w:val="22"/>
        </w:rPr>
        <w:t xml:space="preserve">λαμβάνουν τα κατάλληλα μέτρα πολιτικής για την προστασία των τελικών πελατών και </w:t>
      </w:r>
      <w:r>
        <w:rPr>
          <w:rFonts w:ascii="Calibri" w:hAnsi="Calibri" w:cs="Calibri"/>
          <w:sz w:val="22"/>
          <w:szCs w:val="22"/>
        </w:rPr>
        <w:t xml:space="preserve">να </w:t>
      </w:r>
      <w:r w:rsidRPr="007A3009">
        <w:rPr>
          <w:rFonts w:ascii="Calibri" w:hAnsi="Calibri" w:cs="Calibri"/>
          <w:sz w:val="22"/>
          <w:szCs w:val="22"/>
        </w:rPr>
        <w:t>μεριμνούν ώστε να παρέχονται επαρκείς εγγυήσεις για την προστασία των ευάλωτων πελατών. Στο πλαίσιο αυτό, κάθε Κράτος-Μέλος ορίζει την έννοια των ευάλωτων πελατών, η οποία μπορεί να αναφέρεται στην ενεργειακή ένδεια και</w:t>
      </w:r>
      <w:r w:rsidR="001553E0">
        <w:rPr>
          <w:rFonts w:ascii="Calibri" w:hAnsi="Calibri" w:cs="Calibri"/>
          <w:sz w:val="22"/>
          <w:szCs w:val="22"/>
        </w:rPr>
        <w:t>,</w:t>
      </w:r>
      <w:r w:rsidRPr="007A3009">
        <w:rPr>
          <w:rFonts w:ascii="Calibri" w:hAnsi="Calibri" w:cs="Calibri"/>
          <w:sz w:val="22"/>
          <w:szCs w:val="22"/>
        </w:rPr>
        <w:t xml:space="preserve"> μεταξύ άλλων, στην απαγόρευση αποσύνδεσης των πελατών αυτών σε κρίσιμες περιόδους</w:t>
      </w:r>
      <w:r w:rsidR="00A906E0">
        <w:rPr>
          <w:rFonts w:ascii="Calibri" w:hAnsi="Calibri" w:cs="Calibri"/>
          <w:sz w:val="22"/>
          <w:szCs w:val="22"/>
        </w:rPr>
        <w:t xml:space="preserve"> </w:t>
      </w:r>
      <w:r w:rsidRPr="007A3009">
        <w:rPr>
          <w:rFonts w:ascii="Calibri" w:hAnsi="Calibri" w:cs="Calibri"/>
          <w:sz w:val="22"/>
          <w:szCs w:val="22"/>
        </w:rPr>
        <w:t>χωρίς να παρεμποδίζεται ταυτόχρονα η απελευθέρωση και η εύρυθμη λειτουργία της αγοράς ενέργειας.</w:t>
      </w:r>
    </w:p>
    <w:p w14:paraId="4CA9925B" w14:textId="0DBF571E" w:rsidR="00C85A12" w:rsidRPr="002A13BE" w:rsidRDefault="002C70FF" w:rsidP="005B61DF">
      <w:pPr>
        <w:pStyle w:val="Web"/>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lastRenderedPageBreak/>
        <w:t>Η Οδηγία 20</w:t>
      </w:r>
      <w:r w:rsidR="00A76CD3" w:rsidRPr="00A76CD3">
        <w:rPr>
          <w:rFonts w:ascii="Calibri" w:hAnsi="Calibri" w:cs="Calibri"/>
          <w:sz w:val="22"/>
          <w:szCs w:val="22"/>
        </w:rPr>
        <w:t>23</w:t>
      </w:r>
      <w:r w:rsidRPr="007A3009">
        <w:rPr>
          <w:rFonts w:ascii="Calibri" w:hAnsi="Calibri" w:cs="Calibri"/>
          <w:sz w:val="22"/>
          <w:szCs w:val="22"/>
        </w:rPr>
        <w:t>/</w:t>
      </w:r>
      <w:r w:rsidR="00A76CD3" w:rsidRPr="00A76CD3">
        <w:rPr>
          <w:rFonts w:ascii="Calibri" w:hAnsi="Calibri" w:cs="Calibri"/>
          <w:sz w:val="22"/>
          <w:szCs w:val="22"/>
        </w:rPr>
        <w:t>1791</w:t>
      </w:r>
      <w:r w:rsidRPr="007A3009">
        <w:rPr>
          <w:rFonts w:ascii="Calibri" w:hAnsi="Calibri" w:cs="Calibri"/>
          <w:sz w:val="22"/>
          <w:szCs w:val="22"/>
        </w:rPr>
        <w:t>/EE</w:t>
      </w:r>
      <w:r w:rsidR="00C85A12" w:rsidRPr="00C85A12">
        <w:rPr>
          <w:rFonts w:ascii="Calibri" w:hAnsi="Calibri" w:cs="Calibri"/>
          <w:sz w:val="22"/>
          <w:szCs w:val="22"/>
        </w:rPr>
        <w:t xml:space="preserve"> </w:t>
      </w:r>
      <w:r w:rsidRPr="007A3009">
        <w:rPr>
          <w:rFonts w:ascii="Calibri" w:hAnsi="Calibri" w:cs="Calibri"/>
          <w:sz w:val="22"/>
          <w:szCs w:val="22"/>
        </w:rPr>
        <w:t>για την ενεργειακή απόδοση θέτει ένα νέο πλαίσιο</w:t>
      </w:r>
      <w:r>
        <w:rPr>
          <w:rFonts w:ascii="Calibri" w:hAnsi="Calibri" w:cs="Calibri"/>
          <w:sz w:val="22"/>
          <w:szCs w:val="22"/>
        </w:rPr>
        <w:t>,</w:t>
      </w:r>
      <w:r w:rsidRPr="007A3009">
        <w:rPr>
          <w:rFonts w:ascii="Calibri" w:hAnsi="Calibri" w:cs="Calibri"/>
          <w:sz w:val="22"/>
          <w:szCs w:val="22"/>
        </w:rPr>
        <w:t xml:space="preserve"> ώστε τα μέτρα βελτίωσης της ενεργειακής απόδοσης να συνεισφέρουν στην αντιμετώπιση της ενεργειακής ένδειας και να βελτιώσουν την θέση των</w:t>
      </w:r>
      <w:r w:rsidR="00050762">
        <w:rPr>
          <w:rFonts w:ascii="Calibri" w:hAnsi="Calibri" w:cs="Calibri"/>
          <w:sz w:val="22"/>
          <w:szCs w:val="22"/>
        </w:rPr>
        <w:t xml:space="preserve"> ευάλωτων</w:t>
      </w:r>
      <w:r w:rsidRPr="007A3009">
        <w:rPr>
          <w:rFonts w:ascii="Calibri" w:hAnsi="Calibri" w:cs="Calibri"/>
          <w:sz w:val="22"/>
          <w:szCs w:val="22"/>
        </w:rPr>
        <w:t xml:space="preserve"> καταναλωτών, ενώ </w:t>
      </w:r>
      <w:r>
        <w:rPr>
          <w:rFonts w:ascii="Calibri" w:hAnsi="Calibri" w:cs="Calibri"/>
          <w:sz w:val="22"/>
          <w:szCs w:val="22"/>
        </w:rPr>
        <w:t xml:space="preserve">ταυτόχρονα </w:t>
      </w:r>
      <w:r w:rsidRPr="007A3009">
        <w:rPr>
          <w:rFonts w:ascii="Calibri" w:hAnsi="Calibri" w:cs="Calibri"/>
          <w:sz w:val="22"/>
          <w:szCs w:val="22"/>
        </w:rPr>
        <w:t xml:space="preserve">θα πρέπει να είναι συμπληρωματικά στις κοινωνικές πολιτικές που </w:t>
      </w:r>
      <w:r w:rsidR="00CC1B10">
        <w:rPr>
          <w:rFonts w:ascii="Calibri" w:hAnsi="Calibri" w:cs="Calibri"/>
          <w:sz w:val="22"/>
          <w:szCs w:val="22"/>
        </w:rPr>
        <w:t>υιοθετούνται</w:t>
      </w:r>
      <w:r w:rsidRPr="007A3009">
        <w:rPr>
          <w:rFonts w:ascii="Calibri" w:hAnsi="Calibri" w:cs="Calibri"/>
          <w:sz w:val="22"/>
          <w:szCs w:val="22"/>
        </w:rPr>
        <w:t xml:space="preserve">. </w:t>
      </w:r>
      <w:r w:rsidR="00A906E0">
        <w:rPr>
          <w:rFonts w:ascii="Calibri" w:hAnsi="Calibri" w:cs="Calibri"/>
          <w:sz w:val="22"/>
          <w:szCs w:val="22"/>
        </w:rPr>
        <w:t xml:space="preserve">Κατ’ αρχάς, </w:t>
      </w:r>
      <w:r w:rsidRPr="007A3009">
        <w:rPr>
          <w:rFonts w:ascii="Calibri" w:hAnsi="Calibri" w:cs="Calibri"/>
          <w:sz w:val="22"/>
          <w:szCs w:val="22"/>
        </w:rPr>
        <w:t xml:space="preserve">προβλέπεται ότι τα Κράτη-Μέλη </w:t>
      </w:r>
      <w:r w:rsidR="002A13BE" w:rsidRPr="002A13BE">
        <w:rPr>
          <w:rFonts w:ascii="Calibri" w:hAnsi="Calibri" w:cs="Calibri"/>
          <w:sz w:val="22"/>
          <w:szCs w:val="22"/>
        </w:rPr>
        <w:t xml:space="preserve">καθορίζουν και επιτυγχάνουν μερίδιο </w:t>
      </w:r>
      <w:r w:rsidR="001E173F">
        <w:rPr>
          <w:rFonts w:ascii="Calibri" w:hAnsi="Calibri" w:cs="Calibri"/>
          <w:sz w:val="22"/>
          <w:szCs w:val="22"/>
        </w:rPr>
        <w:t>του στόχου εξοικονόμησης ενέργειας εκφρασμένο σε</w:t>
      </w:r>
      <w:r w:rsidR="002A13BE" w:rsidRPr="002A13BE">
        <w:rPr>
          <w:rFonts w:ascii="Calibri" w:hAnsi="Calibri" w:cs="Calibri"/>
          <w:sz w:val="22"/>
          <w:szCs w:val="22"/>
        </w:rPr>
        <w:t xml:space="preserve"> σωρευτική εξοικονόμηση ενέργειας κατά την τελική χρήση, </w:t>
      </w:r>
      <w:r w:rsidR="002A13BE">
        <w:rPr>
          <w:rFonts w:ascii="Calibri" w:hAnsi="Calibri" w:cs="Calibri"/>
          <w:sz w:val="22"/>
          <w:szCs w:val="22"/>
        </w:rPr>
        <w:t xml:space="preserve">το οποίο </w:t>
      </w:r>
      <w:r w:rsidR="002A13BE" w:rsidRPr="002A13BE">
        <w:rPr>
          <w:rFonts w:ascii="Calibri" w:hAnsi="Calibri" w:cs="Calibri"/>
          <w:sz w:val="22"/>
          <w:szCs w:val="22"/>
        </w:rPr>
        <w:t xml:space="preserve">ισούται τουλάχιστον με το ποσοστό των νοικοκυριών που πλήττονται από ενεργειακή </w:t>
      </w:r>
      <w:r w:rsidR="001E173F">
        <w:rPr>
          <w:rFonts w:ascii="Calibri" w:hAnsi="Calibri" w:cs="Calibri"/>
          <w:sz w:val="22"/>
          <w:szCs w:val="22"/>
        </w:rPr>
        <w:t>ένδεια</w:t>
      </w:r>
      <w:r w:rsidR="002A13BE">
        <w:rPr>
          <w:rFonts w:ascii="Calibri" w:hAnsi="Calibri" w:cs="Calibri"/>
          <w:sz w:val="22"/>
          <w:szCs w:val="22"/>
        </w:rPr>
        <w:t>,</w:t>
      </w:r>
      <w:r w:rsidR="002A13BE" w:rsidRPr="002A13BE">
        <w:rPr>
          <w:rFonts w:ascii="Calibri" w:hAnsi="Calibri" w:cs="Calibri"/>
          <w:sz w:val="22"/>
          <w:szCs w:val="22"/>
        </w:rPr>
        <w:t xml:space="preserve"> μεταξύ ατόμων που πλήττονται από ενεργειακή </w:t>
      </w:r>
      <w:r w:rsidR="001E173F">
        <w:rPr>
          <w:rFonts w:ascii="Calibri" w:hAnsi="Calibri" w:cs="Calibri"/>
          <w:sz w:val="22"/>
          <w:szCs w:val="22"/>
        </w:rPr>
        <w:t>ένδεια</w:t>
      </w:r>
      <w:r w:rsidR="002A13BE" w:rsidRPr="002A13BE">
        <w:rPr>
          <w:rFonts w:ascii="Calibri" w:hAnsi="Calibri" w:cs="Calibri"/>
          <w:sz w:val="22"/>
          <w:szCs w:val="22"/>
        </w:rPr>
        <w:t>, ευάλωτων πελατών, ατόμων σε νοικοκυριά χαμηλού εισοδήματος και, κατά περίπτωση, ατόμων που ζουν σε κοινωνικές κατοικίες</w:t>
      </w:r>
      <w:r w:rsidR="00A906E0">
        <w:rPr>
          <w:rStyle w:val="ab"/>
          <w:rFonts w:ascii="Calibri" w:hAnsi="Calibri"/>
          <w:sz w:val="22"/>
          <w:szCs w:val="22"/>
        </w:rPr>
        <w:footnoteReference w:id="8"/>
      </w:r>
      <w:r w:rsidR="002A13BE" w:rsidRPr="002A13BE">
        <w:rPr>
          <w:rFonts w:ascii="Calibri" w:hAnsi="Calibri" w:cs="Calibri"/>
          <w:sz w:val="22"/>
          <w:szCs w:val="22"/>
        </w:rPr>
        <w:t xml:space="preserve">. </w:t>
      </w:r>
      <w:r w:rsidR="002A13BE">
        <w:rPr>
          <w:rFonts w:ascii="Calibri" w:hAnsi="Calibri" w:cs="Calibri"/>
          <w:sz w:val="22"/>
          <w:szCs w:val="22"/>
        </w:rPr>
        <w:t>Επιπρόσθετα, τ</w:t>
      </w:r>
      <w:r w:rsidR="002A13BE" w:rsidRPr="002A13BE">
        <w:rPr>
          <w:rFonts w:ascii="Calibri" w:hAnsi="Calibri" w:cs="Calibri"/>
          <w:sz w:val="22"/>
          <w:szCs w:val="22"/>
        </w:rPr>
        <w:t xml:space="preserve">α </w:t>
      </w:r>
      <w:r w:rsidR="00050762" w:rsidRPr="007A3009">
        <w:rPr>
          <w:rFonts w:ascii="Calibri" w:hAnsi="Calibri" w:cs="Calibri"/>
          <w:sz w:val="22"/>
          <w:szCs w:val="22"/>
        </w:rPr>
        <w:t xml:space="preserve">Κράτη-Μέλη </w:t>
      </w:r>
      <w:r w:rsidR="002A13BE" w:rsidRPr="002A13BE">
        <w:rPr>
          <w:rFonts w:ascii="Calibri" w:hAnsi="Calibri" w:cs="Calibri"/>
          <w:sz w:val="22"/>
          <w:szCs w:val="22"/>
        </w:rPr>
        <w:t xml:space="preserve">διασφαλίζουν ότι οι αρμόδιες αρχές λαμβάνουν μέτρα για τον μετριασμό των σημαντικών αρνητικών άμεσων ή έμμεσων επιπτώσεων στα νοικοκυριά που αντιμετωπίζουν ενεργειακή </w:t>
      </w:r>
      <w:r w:rsidR="00856EC9">
        <w:rPr>
          <w:rFonts w:ascii="Calibri" w:hAnsi="Calibri" w:cs="Calibri"/>
          <w:sz w:val="22"/>
          <w:szCs w:val="22"/>
        </w:rPr>
        <w:t>ένδεια</w:t>
      </w:r>
      <w:r w:rsidR="002A13BE" w:rsidRPr="002A13BE">
        <w:rPr>
          <w:rFonts w:ascii="Calibri" w:hAnsi="Calibri" w:cs="Calibri"/>
          <w:sz w:val="22"/>
          <w:szCs w:val="22"/>
        </w:rPr>
        <w:t>, στα νοικοκυριά χαμηλού εισοδήματος ή στις ευάλωτες ομάδες κατά τον σχεδιασμό και την εφαρμογή μέτρων ενεργειακής απόδοσης</w:t>
      </w:r>
      <w:r w:rsidR="00A906E0">
        <w:rPr>
          <w:rStyle w:val="ab"/>
          <w:rFonts w:ascii="Calibri" w:hAnsi="Calibri"/>
          <w:sz w:val="22"/>
          <w:szCs w:val="22"/>
        </w:rPr>
        <w:footnoteReference w:id="9"/>
      </w:r>
      <w:r w:rsidR="002A13BE" w:rsidRPr="002A13BE">
        <w:rPr>
          <w:rFonts w:ascii="Calibri" w:hAnsi="Calibri" w:cs="Calibri"/>
          <w:sz w:val="22"/>
          <w:szCs w:val="22"/>
        </w:rPr>
        <w:t>.</w:t>
      </w:r>
      <w:r w:rsidR="002A13BE">
        <w:rPr>
          <w:rFonts w:ascii="Calibri" w:hAnsi="Calibri" w:cs="Calibri"/>
          <w:sz w:val="22"/>
          <w:szCs w:val="22"/>
        </w:rPr>
        <w:t xml:space="preserve"> Τέλος</w:t>
      </w:r>
      <w:r w:rsidR="00050762">
        <w:rPr>
          <w:rFonts w:ascii="Calibri" w:hAnsi="Calibri" w:cs="Calibri"/>
          <w:sz w:val="22"/>
          <w:szCs w:val="22"/>
        </w:rPr>
        <w:t>,</w:t>
      </w:r>
      <w:r w:rsidR="002A13BE">
        <w:rPr>
          <w:rFonts w:ascii="Calibri" w:hAnsi="Calibri" w:cs="Calibri"/>
          <w:sz w:val="22"/>
          <w:szCs w:val="22"/>
        </w:rPr>
        <w:t xml:space="preserve"> </w:t>
      </w:r>
      <w:r w:rsidR="000C08B6">
        <w:rPr>
          <w:rFonts w:ascii="Calibri" w:hAnsi="Calibri" w:cs="Calibri"/>
          <w:sz w:val="22"/>
          <w:szCs w:val="22"/>
        </w:rPr>
        <w:t>προβλέπεται η</w:t>
      </w:r>
      <w:r w:rsidR="002A13BE">
        <w:rPr>
          <w:rFonts w:ascii="Calibri" w:hAnsi="Calibri" w:cs="Calibri"/>
          <w:sz w:val="22"/>
          <w:szCs w:val="22"/>
        </w:rPr>
        <w:t xml:space="preserve"> ενημέρωση και ευαισθητοποίηση των καταναλωτών ενέργειας συμπεριλαμβανομένων των πληττόμενων νοικοκυριών από την ενεργειακή φτώχεια</w:t>
      </w:r>
      <w:r w:rsidR="000C08B6">
        <w:rPr>
          <w:rStyle w:val="ab"/>
          <w:rFonts w:ascii="Calibri" w:hAnsi="Calibri"/>
          <w:sz w:val="22"/>
          <w:szCs w:val="22"/>
        </w:rPr>
        <w:footnoteReference w:id="10"/>
      </w:r>
      <w:r w:rsidR="000C08B6">
        <w:rPr>
          <w:rFonts w:ascii="Calibri" w:hAnsi="Calibri" w:cs="Calibri"/>
          <w:sz w:val="22"/>
          <w:szCs w:val="22"/>
        </w:rPr>
        <w:t xml:space="preserve">και </w:t>
      </w:r>
      <w:r w:rsidR="00DB1028">
        <w:rPr>
          <w:rFonts w:ascii="Calibri" w:hAnsi="Calibri" w:cs="Calibri"/>
          <w:sz w:val="22"/>
          <w:szCs w:val="22"/>
        </w:rPr>
        <w:t>επιδιώκεται</w:t>
      </w:r>
      <w:r w:rsidR="000C08B6">
        <w:rPr>
          <w:rFonts w:ascii="Calibri" w:hAnsi="Calibri" w:cs="Calibri"/>
          <w:sz w:val="22"/>
          <w:szCs w:val="22"/>
        </w:rPr>
        <w:t xml:space="preserve"> η </w:t>
      </w:r>
      <w:r w:rsidR="00AC79EE">
        <w:rPr>
          <w:rFonts w:ascii="Calibri" w:hAnsi="Calibri" w:cs="Calibri"/>
          <w:sz w:val="22"/>
          <w:szCs w:val="22"/>
        </w:rPr>
        <w:t>ε</w:t>
      </w:r>
      <w:r w:rsidR="00AC79EE" w:rsidRPr="00AC79EE">
        <w:rPr>
          <w:rFonts w:ascii="Calibri" w:hAnsi="Calibri" w:cs="Calibri"/>
          <w:sz w:val="22"/>
          <w:szCs w:val="22"/>
        </w:rPr>
        <w:t xml:space="preserve">νδυνάμωση και προστασία των ευάλωτων πελατών και </w:t>
      </w:r>
      <w:r w:rsidR="00DB1028">
        <w:rPr>
          <w:rFonts w:ascii="Calibri" w:hAnsi="Calibri" w:cs="Calibri"/>
          <w:sz w:val="22"/>
          <w:szCs w:val="22"/>
        </w:rPr>
        <w:t>ο</w:t>
      </w:r>
      <w:r w:rsidR="001E173F">
        <w:rPr>
          <w:rFonts w:ascii="Calibri" w:hAnsi="Calibri" w:cs="Calibri"/>
          <w:sz w:val="22"/>
          <w:szCs w:val="22"/>
        </w:rPr>
        <w:t xml:space="preserve"> </w:t>
      </w:r>
      <w:r w:rsidR="00AC79EE" w:rsidRPr="00AC79EE">
        <w:rPr>
          <w:rFonts w:ascii="Calibri" w:hAnsi="Calibri" w:cs="Calibri"/>
          <w:sz w:val="22"/>
          <w:szCs w:val="22"/>
        </w:rPr>
        <w:t>μετριασμό</w:t>
      </w:r>
      <w:r w:rsidR="00DB1028">
        <w:rPr>
          <w:rFonts w:ascii="Calibri" w:hAnsi="Calibri" w:cs="Calibri"/>
          <w:sz w:val="22"/>
          <w:szCs w:val="22"/>
        </w:rPr>
        <w:t>ς</w:t>
      </w:r>
      <w:r w:rsidR="00AC79EE" w:rsidRPr="00AC79EE">
        <w:rPr>
          <w:rFonts w:ascii="Calibri" w:hAnsi="Calibri" w:cs="Calibri"/>
          <w:sz w:val="22"/>
          <w:szCs w:val="22"/>
        </w:rPr>
        <w:t xml:space="preserve"> της ενεργειακής φτώχειας</w:t>
      </w:r>
      <w:r w:rsidR="002A13BE">
        <w:rPr>
          <w:rFonts w:ascii="Calibri" w:hAnsi="Calibri" w:cs="Calibri"/>
          <w:sz w:val="22"/>
          <w:szCs w:val="22"/>
        </w:rPr>
        <w:t xml:space="preserve"> </w:t>
      </w:r>
      <w:r w:rsidR="00AC79EE">
        <w:rPr>
          <w:rFonts w:ascii="Calibri" w:hAnsi="Calibri" w:cs="Calibri"/>
          <w:sz w:val="22"/>
          <w:szCs w:val="22"/>
        </w:rPr>
        <w:t>μέσω στοχευμένων δράσεων</w:t>
      </w:r>
      <w:r w:rsidR="000C08B6">
        <w:rPr>
          <w:rStyle w:val="ab"/>
          <w:rFonts w:ascii="Calibri" w:hAnsi="Calibri"/>
          <w:sz w:val="22"/>
          <w:szCs w:val="22"/>
        </w:rPr>
        <w:footnoteReference w:id="11"/>
      </w:r>
      <w:r w:rsidR="00AC79EE">
        <w:rPr>
          <w:rFonts w:ascii="Calibri" w:hAnsi="Calibri" w:cs="Calibri"/>
          <w:sz w:val="22"/>
          <w:szCs w:val="22"/>
        </w:rPr>
        <w:t>.</w:t>
      </w:r>
    </w:p>
    <w:p w14:paraId="31B60872" w14:textId="47ECE6E4" w:rsidR="002C70FF" w:rsidRPr="007A3009" w:rsidRDefault="002C70FF" w:rsidP="00955BF4">
      <w:pPr>
        <w:pStyle w:val="Web"/>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Θέματα αναφορικά με την ενεργειακή ένδεια περιλαμβάνονται επίσης και στην Οδηγία 20</w:t>
      </w:r>
      <w:r w:rsidR="00BD5379">
        <w:rPr>
          <w:rFonts w:ascii="Calibri" w:hAnsi="Calibri" w:cs="Calibri"/>
          <w:sz w:val="22"/>
          <w:szCs w:val="22"/>
        </w:rPr>
        <w:t>24</w:t>
      </w:r>
      <w:r w:rsidRPr="007A3009">
        <w:rPr>
          <w:rFonts w:ascii="Calibri" w:hAnsi="Calibri" w:cs="Calibri"/>
          <w:sz w:val="22"/>
          <w:szCs w:val="22"/>
        </w:rPr>
        <w:t>/</w:t>
      </w:r>
      <w:r w:rsidR="00BD5379">
        <w:rPr>
          <w:rFonts w:ascii="Calibri" w:hAnsi="Calibri" w:cs="Calibri"/>
          <w:sz w:val="22"/>
          <w:szCs w:val="22"/>
        </w:rPr>
        <w:t>1275</w:t>
      </w:r>
      <w:r w:rsidRPr="007A3009">
        <w:rPr>
          <w:rFonts w:ascii="Calibri" w:hAnsi="Calibri" w:cs="Calibri"/>
          <w:sz w:val="22"/>
          <w:szCs w:val="22"/>
        </w:rPr>
        <w:t>/ΕΕ για την ενεργειακή απόδοση των κτιρίω</w:t>
      </w:r>
      <w:r w:rsidR="00BD5379">
        <w:rPr>
          <w:rFonts w:ascii="Calibri" w:hAnsi="Calibri" w:cs="Calibri"/>
          <w:sz w:val="22"/>
          <w:szCs w:val="22"/>
        </w:rPr>
        <w:t>ν</w:t>
      </w:r>
      <w:r w:rsidRPr="007A3009">
        <w:rPr>
          <w:rFonts w:ascii="Calibri" w:hAnsi="Calibri" w:cs="Calibri"/>
          <w:sz w:val="22"/>
          <w:szCs w:val="22"/>
        </w:rPr>
        <w:t xml:space="preserve">, </w:t>
      </w:r>
      <w:r w:rsidR="000C08B6">
        <w:rPr>
          <w:rFonts w:ascii="Calibri" w:hAnsi="Calibri" w:cs="Calibri"/>
          <w:sz w:val="22"/>
          <w:szCs w:val="22"/>
        </w:rPr>
        <w:t xml:space="preserve">όπου προβλέπεται ότι </w:t>
      </w:r>
      <w:r w:rsidR="00BD5379">
        <w:rPr>
          <w:rFonts w:ascii="Calibri" w:hAnsi="Calibri" w:cs="Calibri"/>
          <w:sz w:val="22"/>
          <w:szCs w:val="22"/>
        </w:rPr>
        <w:t>το εθνικό σχέδιο ανακαίνισης</w:t>
      </w:r>
      <w:r w:rsidRPr="007A3009">
        <w:rPr>
          <w:rFonts w:ascii="Calibri" w:hAnsi="Calibri" w:cs="Calibri"/>
          <w:sz w:val="22"/>
          <w:szCs w:val="22"/>
        </w:rPr>
        <w:t xml:space="preserve"> </w:t>
      </w:r>
      <w:r w:rsidR="00D766ED">
        <w:rPr>
          <w:rFonts w:ascii="Calibri" w:hAnsi="Calibri" w:cs="Calibri"/>
          <w:sz w:val="22"/>
          <w:szCs w:val="22"/>
        </w:rPr>
        <w:t xml:space="preserve">του κτιριακού αποθέματος </w:t>
      </w:r>
      <w:r w:rsidRPr="007A3009">
        <w:rPr>
          <w:rFonts w:ascii="Calibri" w:hAnsi="Calibri" w:cs="Calibri"/>
          <w:sz w:val="22"/>
          <w:szCs w:val="22"/>
        </w:rPr>
        <w:t xml:space="preserve">πρέπει να </w:t>
      </w:r>
      <w:r w:rsidR="00BD5379">
        <w:rPr>
          <w:rFonts w:ascii="Calibri" w:hAnsi="Calibri" w:cs="Calibri"/>
          <w:sz w:val="22"/>
          <w:szCs w:val="22"/>
        </w:rPr>
        <w:t>συμβάλλει σ</w:t>
      </w:r>
      <w:r w:rsidRPr="007A3009">
        <w:rPr>
          <w:rFonts w:ascii="Calibri" w:hAnsi="Calibri" w:cs="Calibri"/>
          <w:sz w:val="22"/>
          <w:szCs w:val="22"/>
        </w:rPr>
        <w:t xml:space="preserve">την άμβλυνση </w:t>
      </w:r>
      <w:r>
        <w:rPr>
          <w:rFonts w:ascii="Calibri" w:hAnsi="Calibri" w:cs="Calibri"/>
          <w:sz w:val="22"/>
          <w:szCs w:val="22"/>
        </w:rPr>
        <w:t xml:space="preserve">του φαινομένου </w:t>
      </w:r>
      <w:r w:rsidRPr="007A3009">
        <w:rPr>
          <w:rFonts w:ascii="Calibri" w:hAnsi="Calibri" w:cs="Calibri"/>
          <w:sz w:val="22"/>
          <w:szCs w:val="22"/>
        </w:rPr>
        <w:t>της ενεργειακής ένδειας</w:t>
      </w:r>
      <w:r w:rsidR="0052346A">
        <w:rPr>
          <w:rFonts w:ascii="Calibri" w:hAnsi="Calibri" w:cs="Calibri"/>
          <w:sz w:val="22"/>
          <w:szCs w:val="22"/>
        </w:rPr>
        <w:t xml:space="preserve"> με χρηματοδοτικά εργαλεία και </w:t>
      </w:r>
      <w:r w:rsidR="005349A0">
        <w:rPr>
          <w:rFonts w:ascii="Calibri" w:hAnsi="Calibri" w:cs="Calibri"/>
          <w:sz w:val="22"/>
          <w:szCs w:val="22"/>
        </w:rPr>
        <w:t>Υ</w:t>
      </w:r>
      <w:r w:rsidR="0052346A">
        <w:rPr>
          <w:rFonts w:ascii="Calibri" w:hAnsi="Calibri" w:cs="Calibri"/>
          <w:sz w:val="22"/>
          <w:szCs w:val="22"/>
        </w:rPr>
        <w:t>πηρεσίες Μίας Στάσης</w:t>
      </w:r>
      <w:r w:rsidR="000C08B6">
        <w:rPr>
          <w:rStyle w:val="ab"/>
          <w:rFonts w:ascii="Calibri" w:hAnsi="Calibri"/>
          <w:sz w:val="22"/>
          <w:szCs w:val="22"/>
        </w:rPr>
        <w:footnoteReference w:id="12"/>
      </w:r>
      <w:r w:rsidR="0052346A">
        <w:rPr>
          <w:rFonts w:ascii="Calibri" w:hAnsi="Calibri" w:cs="Calibri"/>
          <w:sz w:val="22"/>
          <w:szCs w:val="22"/>
        </w:rPr>
        <w:t>.</w:t>
      </w:r>
      <w:r w:rsidR="00BD5379">
        <w:rPr>
          <w:rFonts w:ascii="Calibri" w:hAnsi="Calibri" w:cs="Calibri"/>
          <w:sz w:val="22"/>
          <w:szCs w:val="22"/>
        </w:rPr>
        <w:t xml:space="preserve"> </w:t>
      </w:r>
    </w:p>
    <w:p w14:paraId="31B60873" w14:textId="6D357B95" w:rsidR="002C70FF" w:rsidRDefault="002C70FF" w:rsidP="00F44AD7">
      <w:pPr>
        <w:pStyle w:val="Web"/>
        <w:spacing w:before="120" w:beforeAutospacing="0" w:after="120" w:afterAutospacing="0" w:line="276" w:lineRule="auto"/>
        <w:jc w:val="both"/>
        <w:rPr>
          <w:rFonts w:ascii="Calibri" w:hAnsi="Calibri" w:cs="Calibri"/>
          <w:sz w:val="22"/>
          <w:szCs w:val="22"/>
        </w:rPr>
      </w:pPr>
      <w:r w:rsidRPr="007A3009">
        <w:rPr>
          <w:rFonts w:ascii="Calibri" w:hAnsi="Calibri" w:cs="Calibri"/>
          <w:sz w:val="22"/>
          <w:szCs w:val="22"/>
        </w:rPr>
        <w:t>Τέλος, στο πλαίσιο του Κανονισμού 2018/1999/EE της ΕΕ για τη Διακυβέρνηση της Ενεργειακής Ένωσης και της Δράσης για το Κλίμα</w:t>
      </w:r>
      <w:r w:rsidR="001B062C">
        <w:rPr>
          <w:rFonts w:ascii="Calibri" w:hAnsi="Calibri" w:cs="Calibri"/>
          <w:sz w:val="22"/>
          <w:szCs w:val="22"/>
        </w:rPr>
        <w:t>,</w:t>
      </w:r>
      <w:r w:rsidRPr="007A3009">
        <w:rPr>
          <w:rFonts w:ascii="Calibri" w:hAnsi="Calibri" w:cs="Calibri"/>
          <w:sz w:val="22"/>
          <w:szCs w:val="22"/>
        </w:rPr>
        <w:t xml:space="preserve"> προβλέπεται ότι τα ενοποιημένα ΕΣΕΚ πρέπει να περιλαμβάνουν εκτιμήσεις για τον αριθμό των νοικοκυριών που πλήττονται από ενεργειακή ένδεια, ενώ συστήνεται ο καθορισμός εθνικού στόχου στην περίπτωση μεγάλου αριθμού ευάλωτων νοικοκυριών</w:t>
      </w:r>
      <w:r w:rsidR="000C08B6">
        <w:rPr>
          <w:rStyle w:val="ab"/>
          <w:rFonts w:ascii="Calibri" w:hAnsi="Calibri"/>
          <w:sz w:val="22"/>
          <w:szCs w:val="22"/>
        </w:rPr>
        <w:footnoteReference w:id="13"/>
      </w:r>
      <w:r w:rsidRPr="007A3009">
        <w:rPr>
          <w:rFonts w:ascii="Calibri" w:hAnsi="Calibri" w:cs="Calibri"/>
          <w:sz w:val="22"/>
          <w:szCs w:val="22"/>
        </w:rPr>
        <w:t xml:space="preserve">. </w:t>
      </w:r>
    </w:p>
    <w:p w14:paraId="31B60874" w14:textId="77777777" w:rsidR="002C70FF" w:rsidRPr="009278FE" w:rsidRDefault="002C70FF" w:rsidP="00F44AD7">
      <w:pPr>
        <w:pStyle w:val="Web"/>
        <w:spacing w:before="120" w:beforeAutospacing="0" w:after="120" w:afterAutospacing="0" w:line="276" w:lineRule="auto"/>
        <w:jc w:val="both"/>
        <w:rPr>
          <w:rFonts w:ascii="Calibri" w:hAnsi="Calibri" w:cs="Calibri"/>
          <w:sz w:val="22"/>
          <w:szCs w:val="22"/>
        </w:rPr>
      </w:pPr>
    </w:p>
    <w:p w14:paraId="31B60875" w14:textId="77777777" w:rsidR="002C70FF" w:rsidRPr="00A1423E" w:rsidRDefault="002C70FF" w:rsidP="00D24638">
      <w:pPr>
        <w:pStyle w:val="2"/>
        <w:numPr>
          <w:ilvl w:val="1"/>
          <w:numId w:val="1"/>
        </w:numPr>
        <w:spacing w:before="120" w:after="120"/>
        <w:rPr>
          <w:rFonts w:ascii="Calibri" w:hAnsi="Calibri" w:cs="Calibri"/>
          <w:color w:val="002060"/>
        </w:rPr>
      </w:pPr>
      <w:bookmarkStart w:id="3" w:name="_Toc214271391"/>
      <w:r>
        <w:rPr>
          <w:rFonts w:ascii="Calibri" w:hAnsi="Calibri" w:cs="Calibri"/>
          <w:color w:val="002060"/>
        </w:rPr>
        <w:t>Εθνικό πλαίσιο πολιτικής</w:t>
      </w:r>
      <w:bookmarkEnd w:id="3"/>
    </w:p>
    <w:p w14:paraId="31B60876" w14:textId="000F5149" w:rsidR="002C70FF" w:rsidRPr="005A64C8" w:rsidRDefault="002C70FF" w:rsidP="000A2C62">
      <w:pPr>
        <w:pStyle w:val="Web"/>
        <w:spacing w:before="120" w:beforeAutospacing="0" w:after="120" w:afterAutospacing="0" w:line="276" w:lineRule="auto"/>
        <w:jc w:val="both"/>
        <w:rPr>
          <w:rFonts w:ascii="Calibri" w:hAnsi="Calibri" w:cs="Calibri"/>
          <w:sz w:val="22"/>
          <w:szCs w:val="22"/>
        </w:rPr>
      </w:pPr>
      <w:r w:rsidRPr="005A64C8">
        <w:rPr>
          <w:rFonts w:ascii="Calibri" w:hAnsi="Calibri" w:cs="Calibri"/>
          <w:sz w:val="22"/>
          <w:szCs w:val="22"/>
        </w:rPr>
        <w:t xml:space="preserve">Το υφιστάμενο πλαίσιο πολιτικής σε εθνικό επίπεδο για την καταπολέμηση της ενεργειακής ένδειας καθορίζεται από τους νόμους για την εναρμόνιση του εθνικού δικαίου με τις </w:t>
      </w:r>
      <w:r w:rsidR="0025757C">
        <w:rPr>
          <w:rFonts w:ascii="Calibri" w:hAnsi="Calibri" w:cs="Calibri"/>
          <w:sz w:val="22"/>
          <w:szCs w:val="22"/>
        </w:rPr>
        <w:t xml:space="preserve">ευρωπαϊκές </w:t>
      </w:r>
      <w:r w:rsidRPr="005A64C8">
        <w:rPr>
          <w:rFonts w:ascii="Calibri" w:hAnsi="Calibri" w:cs="Calibri"/>
          <w:sz w:val="22"/>
          <w:szCs w:val="22"/>
        </w:rPr>
        <w:t xml:space="preserve">Οδηγίες, όσο και από μία σειρά στοχευμένων μέτρων </w:t>
      </w:r>
      <w:r w:rsidR="00453F33">
        <w:rPr>
          <w:rFonts w:ascii="Calibri" w:hAnsi="Calibri" w:cs="Calibri"/>
          <w:sz w:val="22"/>
          <w:szCs w:val="22"/>
        </w:rPr>
        <w:t>και πολιτικών</w:t>
      </w:r>
      <w:r w:rsidRPr="005A64C8">
        <w:rPr>
          <w:rFonts w:ascii="Calibri" w:hAnsi="Calibri" w:cs="Calibri"/>
          <w:sz w:val="22"/>
          <w:szCs w:val="22"/>
        </w:rPr>
        <w:t xml:space="preserve"> εστιασμένα στην προστασία των ευάλωτων καταναλωτών.</w:t>
      </w:r>
    </w:p>
    <w:p w14:paraId="31B60879" w14:textId="50C10ABF" w:rsidR="002C70FF" w:rsidRPr="00253A39" w:rsidRDefault="001B062C" w:rsidP="00BE57A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Ο Νόμος 4001/2011</w:t>
      </w:r>
      <w:r w:rsidR="002C70FF" w:rsidRPr="00253A39">
        <w:rPr>
          <w:rFonts w:ascii="Calibri" w:hAnsi="Calibri" w:cs="Calibri"/>
          <w:sz w:val="22"/>
          <w:szCs w:val="22"/>
        </w:rPr>
        <w:t xml:space="preserve"> </w:t>
      </w:r>
      <w:r w:rsidRPr="00253A39">
        <w:rPr>
          <w:rFonts w:ascii="Calibri" w:hAnsi="Calibri" w:cs="Calibri"/>
          <w:sz w:val="22"/>
          <w:szCs w:val="22"/>
        </w:rPr>
        <w:t>(ΦΕΚ Α’ 179/22-08-2011)</w:t>
      </w:r>
      <w:r w:rsidR="009D406F">
        <w:rPr>
          <w:rFonts w:ascii="Calibri" w:hAnsi="Calibri" w:cs="Calibri"/>
          <w:sz w:val="22"/>
          <w:szCs w:val="22"/>
        </w:rPr>
        <w:t xml:space="preserve">, με τον οποίο εναρμονίστηκε η </w:t>
      </w:r>
      <w:r w:rsidR="002C70FF" w:rsidRPr="00253A39">
        <w:rPr>
          <w:rFonts w:ascii="Calibri" w:hAnsi="Calibri" w:cs="Calibri"/>
          <w:sz w:val="22"/>
          <w:szCs w:val="22"/>
        </w:rPr>
        <w:t>Οδηγία 2009/72/ΕΚ,</w:t>
      </w:r>
      <w:r w:rsidR="00350175">
        <w:rPr>
          <w:rFonts w:ascii="Calibri" w:hAnsi="Calibri" w:cs="Calibri"/>
          <w:sz w:val="22"/>
          <w:szCs w:val="22"/>
        </w:rPr>
        <w:t xml:space="preserve"> </w:t>
      </w:r>
      <w:r w:rsidR="009D406F">
        <w:rPr>
          <w:rFonts w:ascii="Calibri" w:hAnsi="Calibri" w:cs="Calibri"/>
          <w:sz w:val="22"/>
          <w:szCs w:val="22"/>
        </w:rPr>
        <w:t xml:space="preserve">προβλέπει </w:t>
      </w:r>
      <w:r w:rsidR="002C70FF" w:rsidRPr="00253A39">
        <w:rPr>
          <w:rFonts w:ascii="Calibri" w:hAnsi="Calibri" w:cs="Calibri"/>
          <w:sz w:val="22"/>
          <w:szCs w:val="22"/>
        </w:rPr>
        <w:t>τις κατηγορίες των Ευάλωτων Πελατών</w:t>
      </w:r>
      <w:r w:rsidR="000C08B6">
        <w:rPr>
          <w:rStyle w:val="ab"/>
          <w:rFonts w:ascii="Calibri" w:hAnsi="Calibri"/>
          <w:sz w:val="22"/>
          <w:szCs w:val="22"/>
        </w:rPr>
        <w:footnoteReference w:id="14"/>
      </w:r>
      <w:r w:rsidR="002C70FF" w:rsidRPr="00253A39">
        <w:rPr>
          <w:rFonts w:ascii="Calibri" w:hAnsi="Calibri" w:cs="Calibri"/>
          <w:sz w:val="22"/>
          <w:szCs w:val="22"/>
        </w:rPr>
        <w:t xml:space="preserve">. </w:t>
      </w:r>
      <w:r w:rsidR="009D406F">
        <w:rPr>
          <w:rFonts w:ascii="Calibri" w:hAnsi="Calibri" w:cs="Calibri"/>
          <w:sz w:val="22"/>
          <w:szCs w:val="22"/>
        </w:rPr>
        <w:t>Αυτές περιλαμβάνουν</w:t>
      </w:r>
      <w:r w:rsidR="002C70FF" w:rsidRPr="00253A39">
        <w:rPr>
          <w:rFonts w:ascii="Calibri" w:hAnsi="Calibri" w:cs="Calibri"/>
          <w:sz w:val="22"/>
          <w:szCs w:val="22"/>
        </w:rPr>
        <w:t>:</w:t>
      </w:r>
    </w:p>
    <w:p w14:paraId="31B6087A" w14:textId="7763A9A0" w:rsidR="002C70FF" w:rsidRPr="00253A39" w:rsidRDefault="002C70FF" w:rsidP="00C3207A">
      <w:pPr>
        <w:pStyle w:val="a5"/>
        <w:numPr>
          <w:ilvl w:val="0"/>
          <w:numId w:val="7"/>
        </w:numPr>
        <w:spacing w:before="120" w:after="120"/>
        <w:ind w:left="714" w:hanging="357"/>
        <w:jc w:val="both"/>
      </w:pPr>
      <w:r w:rsidRPr="00253A39">
        <w:lastRenderedPageBreak/>
        <w:t>Τους οικονομικά ασθενείς οικιακούς πελάτες, οι οποίοι πλήττονται από το φαινόμενο της ενεργειακής ένδειας.</w:t>
      </w:r>
    </w:p>
    <w:p w14:paraId="31B6087B" w14:textId="0B65F688" w:rsidR="002C70FF" w:rsidRPr="00253A39" w:rsidRDefault="002C70FF" w:rsidP="00C3207A">
      <w:pPr>
        <w:pStyle w:val="a5"/>
        <w:numPr>
          <w:ilvl w:val="0"/>
          <w:numId w:val="7"/>
        </w:numPr>
        <w:spacing w:before="120" w:after="120"/>
        <w:ind w:left="714" w:hanging="357"/>
        <w:jc w:val="both"/>
      </w:pPr>
      <w:r w:rsidRPr="00253A39">
        <w:t>Τους πελάτες (οι ίδιοι είτε οι σύζυγοι αυτών ή πρόσωπα των οποίων  έχουν την επιμέλεια σύμφωνα με το νόμο και συνοικούν με αυτούς), οι οποίοι εξαρτώνται σε μεγάλο βαθμό από τη συνεχή και αδιάλειπτο παροχή ενέργειας. Στην κατηγορία αυτή υπάγονται οι πελάτες που χρήζουν μηχανικής υποστήριξης και ιδίως άτομα, τα οποία χρειάζονται συνεχή προμήθεια ηλεκτρικής ενέργειας για τη λειτουργία συσκευών υποστήριξης ή παρακολούθησης ζωτικών λειτουργιών, όπως ενδεικτικά οι συσκευές μηχανικής υποστήριξης αναπνευστικής ή καρδιακής λειτουργίας, οι συσκευές αιμοκάθαρσης και κάθε παρόμοιας φύσης συσκευή.</w:t>
      </w:r>
    </w:p>
    <w:p w14:paraId="31B6087C" w14:textId="77777777" w:rsidR="002C70FF" w:rsidRPr="00253A39" w:rsidRDefault="002C70FF" w:rsidP="00C3207A">
      <w:pPr>
        <w:pStyle w:val="a5"/>
        <w:numPr>
          <w:ilvl w:val="0"/>
          <w:numId w:val="7"/>
        </w:numPr>
        <w:spacing w:before="120" w:after="120"/>
        <w:ind w:left="714" w:hanging="357"/>
        <w:jc w:val="both"/>
      </w:pPr>
      <w:r w:rsidRPr="00253A39">
        <w:t>Τους ηλικιωμένους πελάτες, οι οποίοι έχουν συμπληρώσει το εβδομηκοστό έτος της ηλικίας τους, υπό την προϋπόθεση ότι δεν συνοικούν με άλλο πρόσωπο το οποίο δεν έχει συμπληρώσει το ως άνω όριο ηλικίας.</w:t>
      </w:r>
    </w:p>
    <w:p w14:paraId="31B6087D" w14:textId="49BCA42D" w:rsidR="002C70FF" w:rsidRPr="00253A39" w:rsidRDefault="002C70FF" w:rsidP="00C3207A">
      <w:pPr>
        <w:pStyle w:val="a5"/>
        <w:numPr>
          <w:ilvl w:val="0"/>
          <w:numId w:val="7"/>
        </w:numPr>
        <w:spacing w:before="120" w:after="120"/>
        <w:ind w:left="714" w:hanging="357"/>
        <w:jc w:val="both"/>
      </w:pPr>
      <w:r w:rsidRPr="00253A39">
        <w:t>Τους πελάτες με σοβαρά προβλήματα υγείας, ιδίως άτομα με σοβαρή σωματική ή ψυχική αναπηρία, με νοητική αναπηρία, σοβαρά οπτικοακουστικά ή κινησιακά προβλήματα ή με πολλαπλές αναπηρίες ή με χρόνια πάθηση και οι οποίοι εκ του λόγου τούτου δεν δύνανται να διαχειριστούν και διαπραγματευτούν τη συμβατική τους σχέση με τον προμηθευτή.</w:t>
      </w:r>
    </w:p>
    <w:p w14:paraId="31B6087E" w14:textId="77777777" w:rsidR="002C70FF" w:rsidRPr="00253A39" w:rsidRDefault="002C70FF" w:rsidP="00C3207A">
      <w:pPr>
        <w:pStyle w:val="a5"/>
        <w:numPr>
          <w:ilvl w:val="0"/>
          <w:numId w:val="7"/>
        </w:numPr>
        <w:spacing w:before="120" w:after="120"/>
        <w:ind w:left="714" w:hanging="357"/>
        <w:jc w:val="both"/>
      </w:pPr>
      <w:r w:rsidRPr="00253A39">
        <w:t>Τους πελάτες σε απομακρυσμένες περιοχές και ιδιαίτερα στα Μη Διασυνδεδεμένα Νησιά, οι οποίοι δικαιούνται ίδιες υπηρεσίες τόσο ως προς τις τιμές όσο και ως προς την ποιότητα, την ασφάλεια του εφοδιασμού και τη διαφάνεια των συμβατικών όρων και προϋποθέσεων με τους άλλους πελάτες.</w:t>
      </w:r>
    </w:p>
    <w:p w14:paraId="31B6087F" w14:textId="103F51C6" w:rsidR="002C70FF" w:rsidRPr="00253A39" w:rsidRDefault="000C08B6" w:rsidP="00BE57A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Προβλέπεται, επίσης, </w:t>
      </w:r>
      <w:r w:rsidR="002C70FF" w:rsidRPr="00253A39">
        <w:rPr>
          <w:rFonts w:ascii="Calibri" w:hAnsi="Calibri" w:cs="Calibri"/>
          <w:sz w:val="22"/>
          <w:szCs w:val="22"/>
        </w:rPr>
        <w:t xml:space="preserve">ότι ανάλογα με τις δυσκολίες που αντιμετωπίζει η κάθε κατηγορία, δύναται να λαμβάνονται πρόσθετα μέτρα πολιτικής για την προστασία τους, όπως είναι η παροχή μειωμένων τιμολογίων, </w:t>
      </w:r>
      <w:r w:rsidR="0025757C">
        <w:rPr>
          <w:rFonts w:ascii="Calibri" w:hAnsi="Calibri" w:cs="Calibri"/>
          <w:sz w:val="22"/>
          <w:szCs w:val="22"/>
        </w:rPr>
        <w:t>η</w:t>
      </w:r>
      <w:r w:rsidR="0025757C" w:rsidRPr="00253A39">
        <w:rPr>
          <w:rFonts w:ascii="Calibri" w:hAnsi="Calibri" w:cs="Calibri"/>
          <w:sz w:val="22"/>
          <w:szCs w:val="22"/>
        </w:rPr>
        <w:t xml:space="preserve"> </w:t>
      </w:r>
      <w:r w:rsidR="002C70FF" w:rsidRPr="00253A39">
        <w:rPr>
          <w:rFonts w:ascii="Calibri" w:hAnsi="Calibri" w:cs="Calibri"/>
          <w:sz w:val="22"/>
          <w:szCs w:val="22"/>
        </w:rPr>
        <w:t>έκπτωση επί των δημοσιευμένων τιμολογίων κάθε προμηθευτή, η εγκατάσταση μετρητών με δυνατότητα προπληρωμής, η πρόβλεψη ευνοϊκότερων όρων πληρωμής των λογαριασμών, η υιοθέτηση εναλλακτικών τρόπων πρόσβασης σε υπηρεσίες εξυπηρέτησης και πληρωμής λογαριασμών και η απαγόρευση διακοπής σύνδεσης τέτοιων καταναλωτών σε κρίσιμες περιόδους</w:t>
      </w:r>
      <w:r>
        <w:rPr>
          <w:rStyle w:val="ab"/>
          <w:rFonts w:ascii="Calibri" w:hAnsi="Calibri"/>
          <w:sz w:val="22"/>
          <w:szCs w:val="22"/>
        </w:rPr>
        <w:footnoteReference w:id="15"/>
      </w:r>
      <w:r w:rsidR="002C70FF" w:rsidRPr="00253A39">
        <w:rPr>
          <w:rFonts w:ascii="Calibri" w:hAnsi="Calibri" w:cs="Calibri"/>
          <w:sz w:val="22"/>
          <w:szCs w:val="22"/>
        </w:rPr>
        <w:t>.</w:t>
      </w:r>
    </w:p>
    <w:p w14:paraId="31B60880" w14:textId="4BD65A0B" w:rsidR="002C70FF" w:rsidRPr="00253A39" w:rsidRDefault="002C70FF" w:rsidP="00BE57A4">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t>Τέλος</w:t>
      </w:r>
      <w:r w:rsidR="000C08B6">
        <w:rPr>
          <w:rFonts w:ascii="Calibri" w:hAnsi="Calibri" w:cs="Calibri"/>
          <w:sz w:val="22"/>
          <w:szCs w:val="22"/>
        </w:rPr>
        <w:t>, καθορίζονται</w:t>
      </w:r>
      <w:r w:rsidRPr="00253A39">
        <w:rPr>
          <w:rFonts w:ascii="Calibri" w:hAnsi="Calibri" w:cs="Calibri"/>
          <w:sz w:val="22"/>
          <w:szCs w:val="22"/>
        </w:rPr>
        <w:t xml:space="preserve"> οι υποχρεώσεις των προμηθευτών αναφορικά με την προστασία των ευάλωτων καταναλωτών με την υιοθέτηση συγκεκριμένων μέτρων και με την παροχή πληροφοριών σε θέματα που σχετίζονται με την ενεργειακή ένδεια</w:t>
      </w:r>
      <w:r w:rsidR="004B7160">
        <w:rPr>
          <w:rFonts w:ascii="Calibri" w:hAnsi="Calibri" w:cs="Calibri"/>
          <w:sz w:val="22"/>
          <w:szCs w:val="22"/>
        </w:rPr>
        <w:t>,</w:t>
      </w:r>
      <w:r w:rsidRPr="00253A39">
        <w:rPr>
          <w:rFonts w:ascii="Calibri" w:hAnsi="Calibri" w:cs="Calibri"/>
          <w:sz w:val="22"/>
          <w:szCs w:val="22"/>
        </w:rPr>
        <w:t xml:space="preserve"> συμπεριλαμβανομένης της διαδικασίας υποβολής και διαχείρισης αιτημάτων και παραπόνων των πελατών</w:t>
      </w:r>
      <w:r w:rsidR="000C08B6">
        <w:rPr>
          <w:rStyle w:val="ab"/>
          <w:rFonts w:ascii="Calibri" w:hAnsi="Calibri"/>
          <w:sz w:val="22"/>
          <w:szCs w:val="22"/>
        </w:rPr>
        <w:footnoteReference w:id="16"/>
      </w:r>
      <w:r w:rsidRPr="00253A39">
        <w:rPr>
          <w:rFonts w:ascii="Calibri" w:hAnsi="Calibri" w:cs="Calibri"/>
          <w:sz w:val="22"/>
          <w:szCs w:val="22"/>
        </w:rPr>
        <w:t>.</w:t>
      </w:r>
    </w:p>
    <w:p w14:paraId="31B60881" w14:textId="45D5B153" w:rsidR="002C70FF" w:rsidRDefault="002C70FF" w:rsidP="009E3D34">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t xml:space="preserve">Επιπρόσθετα, τα προηγούμενα έτη </w:t>
      </w:r>
      <w:r w:rsidR="00EB3AAA">
        <w:rPr>
          <w:rFonts w:ascii="Calibri" w:hAnsi="Calibri" w:cs="Calibri"/>
          <w:sz w:val="22"/>
          <w:szCs w:val="22"/>
        </w:rPr>
        <w:t>δρομολογήθηκε</w:t>
      </w:r>
      <w:r w:rsidR="00EB3AAA" w:rsidRPr="00253A39">
        <w:rPr>
          <w:rFonts w:ascii="Calibri" w:hAnsi="Calibri" w:cs="Calibri"/>
          <w:sz w:val="22"/>
          <w:szCs w:val="22"/>
        </w:rPr>
        <w:t xml:space="preserve"> συγκεκριμένη δέσμη κανονιστικών μέτρων</w:t>
      </w:r>
      <w:r w:rsidRPr="00253A39">
        <w:rPr>
          <w:rFonts w:ascii="Calibri" w:hAnsi="Calibri" w:cs="Calibri"/>
          <w:sz w:val="22"/>
          <w:szCs w:val="22"/>
        </w:rPr>
        <w:t xml:space="preserve"> για την ενίσχυση των ευάλωτων νοικοκυριών. Αρχικά, το Κοινωνικό Οικιακό Τιμολόγιο (ΚΟΤ) θεσπίστηκε για την προστασία των ευπαθών ομάδων καταναλωτών</w:t>
      </w:r>
      <w:r w:rsidR="00276D90">
        <w:rPr>
          <w:rStyle w:val="ab"/>
          <w:rFonts w:ascii="Calibri" w:hAnsi="Calibri"/>
          <w:sz w:val="22"/>
          <w:szCs w:val="22"/>
        </w:rPr>
        <w:footnoteReference w:id="17"/>
      </w:r>
      <w:r w:rsidRPr="00253A39">
        <w:rPr>
          <w:rFonts w:ascii="Calibri" w:hAnsi="Calibri" w:cs="Calibri"/>
          <w:sz w:val="22"/>
          <w:szCs w:val="22"/>
        </w:rPr>
        <w:t xml:space="preserve">. </w:t>
      </w:r>
      <w:r w:rsidR="009D406F">
        <w:rPr>
          <w:rFonts w:ascii="Calibri" w:hAnsi="Calibri" w:cs="Calibri"/>
          <w:sz w:val="22"/>
          <w:szCs w:val="22"/>
        </w:rPr>
        <w:t>Στη συνέχεια</w:t>
      </w:r>
      <w:r w:rsidRPr="00253A39">
        <w:rPr>
          <w:rFonts w:ascii="Calibri" w:hAnsi="Calibri" w:cs="Calibri"/>
          <w:sz w:val="22"/>
          <w:szCs w:val="22"/>
        </w:rPr>
        <w:t>, τροποποιήθηκαν οι κατηγορίες των δικαιούχων του ΚΟΤ, τα κριτήρια ένταξης, καθώς και η χορηγούμενη έκπτωση στους δικαιούχους.</w:t>
      </w:r>
    </w:p>
    <w:p w14:paraId="31B60882" w14:textId="0D9CEDCB" w:rsidR="002C70FF" w:rsidRPr="00253A39" w:rsidRDefault="002C70FF" w:rsidP="0031571A">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lastRenderedPageBreak/>
        <w:t>Στους Ευάλωτους Πελάτες παρέχονται</w:t>
      </w:r>
      <w:r w:rsidR="004B7160">
        <w:rPr>
          <w:rFonts w:ascii="Calibri" w:hAnsi="Calibri" w:cs="Calibri"/>
          <w:sz w:val="22"/>
          <w:szCs w:val="22"/>
        </w:rPr>
        <w:t>, επιπροσθέτως,</w:t>
      </w:r>
      <w:r w:rsidRPr="00253A39">
        <w:rPr>
          <w:rFonts w:ascii="Calibri" w:hAnsi="Calibri" w:cs="Calibri"/>
          <w:sz w:val="22"/>
          <w:szCs w:val="22"/>
        </w:rPr>
        <w:t xml:space="preserve"> ειδικά μέτρα προστασίας, όπως </w:t>
      </w:r>
      <w:r w:rsidR="00131DCF">
        <w:rPr>
          <w:rFonts w:ascii="Calibri" w:hAnsi="Calibri" w:cs="Calibri"/>
          <w:sz w:val="22"/>
          <w:szCs w:val="22"/>
        </w:rPr>
        <w:t xml:space="preserve">είναι η χορήγηση </w:t>
      </w:r>
      <w:r w:rsidRPr="00253A39">
        <w:rPr>
          <w:rFonts w:ascii="Calibri" w:hAnsi="Calibri" w:cs="Calibri"/>
          <w:sz w:val="22"/>
          <w:szCs w:val="22"/>
        </w:rPr>
        <w:t>προθεσμία</w:t>
      </w:r>
      <w:r w:rsidR="00131DCF">
        <w:rPr>
          <w:rFonts w:ascii="Calibri" w:hAnsi="Calibri" w:cs="Calibri"/>
          <w:sz w:val="22"/>
          <w:szCs w:val="22"/>
        </w:rPr>
        <w:t>ς</w:t>
      </w:r>
      <w:r w:rsidRPr="00253A39">
        <w:rPr>
          <w:rFonts w:ascii="Calibri" w:hAnsi="Calibri" w:cs="Calibri"/>
          <w:sz w:val="22"/>
          <w:szCs w:val="22"/>
        </w:rPr>
        <w:t xml:space="preserve"> </w:t>
      </w:r>
      <w:r w:rsidR="00131DCF" w:rsidRPr="00253A39">
        <w:rPr>
          <w:rFonts w:ascii="Calibri" w:hAnsi="Calibri" w:cs="Calibri"/>
          <w:sz w:val="22"/>
          <w:szCs w:val="22"/>
        </w:rPr>
        <w:t xml:space="preserve">τουλάχιστον σαράντα ημερών </w:t>
      </w:r>
      <w:r w:rsidR="00131DCF">
        <w:rPr>
          <w:rFonts w:ascii="Calibri" w:hAnsi="Calibri" w:cs="Calibri"/>
          <w:sz w:val="22"/>
          <w:szCs w:val="22"/>
        </w:rPr>
        <w:t xml:space="preserve">για την </w:t>
      </w:r>
      <w:r w:rsidRPr="00253A39">
        <w:rPr>
          <w:rFonts w:ascii="Calibri" w:hAnsi="Calibri" w:cs="Calibri"/>
          <w:sz w:val="22"/>
          <w:szCs w:val="22"/>
        </w:rPr>
        <w:t xml:space="preserve">εξόφληση λογαριασμών κατανάλωσης, δυνατότητα τμηματικής και άτοκης εξόφλησης των λογαριασμών κατανάλωσης, καθώς και των οφειλών παλαιότερων λογαριασμών, </w:t>
      </w:r>
      <w:r w:rsidR="00131DCF">
        <w:rPr>
          <w:rFonts w:ascii="Calibri" w:hAnsi="Calibri" w:cs="Calibri"/>
          <w:sz w:val="22"/>
          <w:szCs w:val="22"/>
        </w:rPr>
        <w:t xml:space="preserve">ενώ ορίζεται ότι το </w:t>
      </w:r>
      <w:r w:rsidR="00DB286D">
        <w:rPr>
          <w:rFonts w:ascii="Calibri" w:hAnsi="Calibri" w:cs="Calibri"/>
          <w:sz w:val="22"/>
          <w:szCs w:val="22"/>
        </w:rPr>
        <w:t>ύψος</w:t>
      </w:r>
      <w:r w:rsidRPr="00253A39">
        <w:rPr>
          <w:rFonts w:ascii="Calibri" w:hAnsi="Calibri" w:cs="Calibri"/>
          <w:sz w:val="22"/>
          <w:szCs w:val="22"/>
        </w:rPr>
        <w:t xml:space="preserve"> μηνιαία</w:t>
      </w:r>
      <w:r w:rsidR="00DB286D">
        <w:rPr>
          <w:rFonts w:ascii="Calibri" w:hAnsi="Calibri" w:cs="Calibri"/>
          <w:sz w:val="22"/>
          <w:szCs w:val="22"/>
        </w:rPr>
        <w:t>ς</w:t>
      </w:r>
      <w:r w:rsidRPr="00253A39">
        <w:rPr>
          <w:rFonts w:ascii="Calibri" w:hAnsi="Calibri" w:cs="Calibri"/>
          <w:sz w:val="22"/>
          <w:szCs w:val="22"/>
        </w:rPr>
        <w:t xml:space="preserve"> δόση</w:t>
      </w:r>
      <w:r w:rsidR="00DB286D">
        <w:rPr>
          <w:rFonts w:ascii="Calibri" w:hAnsi="Calibri" w:cs="Calibri"/>
          <w:sz w:val="22"/>
          <w:szCs w:val="22"/>
        </w:rPr>
        <w:t xml:space="preserve">ς </w:t>
      </w:r>
      <w:r w:rsidRPr="00253A39">
        <w:rPr>
          <w:rFonts w:ascii="Calibri" w:hAnsi="Calibri" w:cs="Calibri"/>
          <w:sz w:val="22"/>
          <w:szCs w:val="22"/>
        </w:rPr>
        <w:t>δεν μπορεί να υπερβαίνει το 50% της αντίστοιχης μηνιαίας δαπάνης για την ηλεκτρική ενέργεια του Ευάλωτου Οικιακού Πελάτη</w:t>
      </w:r>
      <w:r w:rsidR="00131DCF">
        <w:rPr>
          <w:rFonts w:ascii="Calibri" w:hAnsi="Calibri" w:cs="Calibri"/>
          <w:sz w:val="22"/>
          <w:szCs w:val="22"/>
        </w:rPr>
        <w:t>.</w:t>
      </w:r>
      <w:r w:rsidRPr="00253A39">
        <w:rPr>
          <w:rFonts w:ascii="Calibri" w:hAnsi="Calibri" w:cs="Calibri"/>
          <w:sz w:val="22"/>
          <w:szCs w:val="22"/>
        </w:rPr>
        <w:t xml:space="preserve"> </w:t>
      </w:r>
      <w:r w:rsidR="00131DCF">
        <w:rPr>
          <w:rFonts w:ascii="Calibri" w:hAnsi="Calibri" w:cs="Calibri"/>
          <w:sz w:val="22"/>
          <w:szCs w:val="22"/>
        </w:rPr>
        <w:t xml:space="preserve">Επίσης, προβλέπεται η </w:t>
      </w:r>
      <w:r w:rsidRPr="00253A39">
        <w:rPr>
          <w:rFonts w:ascii="Calibri" w:hAnsi="Calibri" w:cs="Calibri"/>
          <w:sz w:val="22"/>
          <w:szCs w:val="22"/>
        </w:rPr>
        <w:t>αναστολή της δυνατότητας του προμηθευτή να προβεί σε εντολή απενεργοποίησης μετρητή (διακοπής ρεύματος) λόγω ληξιπρόθεσμων οφειλών κατά το χρονικό διάστημα από Νοέμβριο έως Μάρτιο και κατά τη διάρκεια των μηνών Ιουλίου και Αυγούστου</w:t>
      </w:r>
      <w:r w:rsidR="00131DCF">
        <w:rPr>
          <w:rFonts w:ascii="Calibri" w:hAnsi="Calibri" w:cs="Calibri"/>
          <w:sz w:val="22"/>
          <w:szCs w:val="22"/>
        </w:rPr>
        <w:t xml:space="preserve"> και τίθενται</w:t>
      </w:r>
      <w:r w:rsidRPr="00253A39">
        <w:rPr>
          <w:rFonts w:ascii="Calibri" w:hAnsi="Calibri" w:cs="Calibri"/>
          <w:sz w:val="22"/>
          <w:szCs w:val="22"/>
        </w:rPr>
        <w:t xml:space="preserve"> αυστηρότερες προϋποθέσεις για την καταγγελία της σύμβασης προμήθειας εκ μέρους του προμηθευτή</w:t>
      </w:r>
      <w:r w:rsidR="00276D90">
        <w:rPr>
          <w:rStyle w:val="ab"/>
          <w:rFonts w:ascii="Calibri" w:hAnsi="Calibri"/>
          <w:sz w:val="22"/>
          <w:szCs w:val="22"/>
        </w:rPr>
        <w:footnoteReference w:id="18"/>
      </w:r>
      <w:r w:rsidRPr="00253A39">
        <w:rPr>
          <w:rFonts w:ascii="Calibri" w:hAnsi="Calibri" w:cs="Calibri"/>
          <w:sz w:val="22"/>
          <w:szCs w:val="22"/>
        </w:rPr>
        <w:t>.</w:t>
      </w:r>
    </w:p>
    <w:p w14:paraId="59A8BFEB" w14:textId="01275749" w:rsidR="00D25819" w:rsidRPr="00D870DA" w:rsidRDefault="00D25819" w:rsidP="009E3D34">
      <w:pPr>
        <w:pStyle w:val="Web"/>
        <w:spacing w:before="120" w:beforeAutospacing="0" w:after="120" w:afterAutospacing="0" w:line="276" w:lineRule="auto"/>
        <w:jc w:val="both"/>
        <w:rPr>
          <w:rFonts w:ascii="Calibri" w:hAnsi="Calibri" w:cs="Calibri"/>
          <w:sz w:val="22"/>
          <w:szCs w:val="22"/>
        </w:rPr>
      </w:pPr>
      <w:r w:rsidRPr="00074E4A">
        <w:rPr>
          <w:rFonts w:ascii="Calibri" w:hAnsi="Calibri" w:cs="Calibri"/>
          <w:sz w:val="22"/>
          <w:szCs w:val="22"/>
          <w:lang w:val="en-US"/>
        </w:rPr>
        <w:t>O</w:t>
      </w:r>
      <w:r w:rsidRPr="00074E4A">
        <w:rPr>
          <w:rFonts w:ascii="Calibri" w:hAnsi="Calibri" w:cs="Calibri"/>
          <w:sz w:val="22"/>
          <w:szCs w:val="22"/>
        </w:rPr>
        <w:t xml:space="preserve"> Κώδικας Προμήθειας Ηλεκτρικής Ενέργειας</w:t>
      </w:r>
      <w:r w:rsidR="00B71308">
        <w:rPr>
          <w:rStyle w:val="ab"/>
          <w:rFonts w:ascii="Calibri" w:hAnsi="Calibri"/>
          <w:sz w:val="22"/>
          <w:szCs w:val="22"/>
        </w:rPr>
        <w:footnoteReference w:id="19"/>
      </w:r>
      <w:r w:rsidRPr="00074E4A">
        <w:rPr>
          <w:rFonts w:ascii="Calibri" w:hAnsi="Calibri" w:cs="Calibri"/>
          <w:sz w:val="22"/>
          <w:szCs w:val="22"/>
        </w:rPr>
        <w:t>, προβλέπει ότι οι ευάλωτοι οικιακοί πελάτες μεταπίπτουν αυτόματα στο καθεστώς της Καθολικής Υπηρεσίας, χωρίς να προηγηθεί καθ' οιονδήποτε τρόπο διακοπή της ηλεκτροδότησ</w:t>
      </w:r>
      <w:r w:rsidR="00DB286D" w:rsidRPr="00074E4A">
        <w:rPr>
          <w:rFonts w:ascii="Calibri" w:hAnsi="Calibri" w:cs="Calibri"/>
          <w:sz w:val="22"/>
          <w:szCs w:val="22"/>
        </w:rPr>
        <w:t>η</w:t>
      </w:r>
      <w:r w:rsidRPr="00074E4A">
        <w:rPr>
          <w:rFonts w:ascii="Calibri" w:hAnsi="Calibri" w:cs="Calibri"/>
          <w:sz w:val="22"/>
          <w:szCs w:val="22"/>
        </w:rPr>
        <w:t>ς σε περίπτωση κατά την οποία ο προμηθευτής προβεί στην καταγγελία της Σύμβασης Προμήθειας ή ο παλαιός προμηθευτής υποβάλλει στον αντίστοιχο διαχειριστή εντολή απενεργοποίησης της παροχής λόγω ληξιπρόθεσμων οφειλών ή μη τήρησης, από πλευράς του πελάτη, των όρων του διακανονισμού των ληξιπρόθεσμων οφειλών.</w:t>
      </w:r>
    </w:p>
    <w:p w14:paraId="31B60888" w14:textId="5D4C4A02" w:rsidR="002C70FF" w:rsidRDefault="002C70FF" w:rsidP="009E3D34">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t xml:space="preserve">Από το έτος 2012 έχει θεσμοθετηθεί η χορήγηση επιδόματος θέρμανσης σε συγκεκριμένες κατηγορίες καταναλωτών </w:t>
      </w:r>
      <w:r w:rsidR="0018718E">
        <w:rPr>
          <w:rFonts w:ascii="Calibri" w:hAnsi="Calibri" w:cs="Calibri"/>
          <w:sz w:val="22"/>
          <w:szCs w:val="22"/>
        </w:rPr>
        <w:t xml:space="preserve">για την προμήθεια </w:t>
      </w:r>
      <w:r w:rsidRPr="00253A39">
        <w:rPr>
          <w:rFonts w:ascii="Calibri" w:hAnsi="Calibri" w:cs="Calibri"/>
          <w:sz w:val="22"/>
          <w:szCs w:val="22"/>
        </w:rPr>
        <w:t xml:space="preserve">πετρελαίου θέρμανσης λόγω της αύξησης της τελικής τιμής του συγκεκριμένου προϊόντος. Υπουργικές Αποφάσεις </w:t>
      </w:r>
      <w:r w:rsidR="00DB286D">
        <w:rPr>
          <w:rFonts w:ascii="Calibri" w:hAnsi="Calibri" w:cs="Calibri"/>
          <w:sz w:val="22"/>
          <w:szCs w:val="22"/>
        </w:rPr>
        <w:t>εκδίδονται</w:t>
      </w:r>
      <w:r w:rsidRPr="00253A39">
        <w:rPr>
          <w:rFonts w:ascii="Calibri" w:hAnsi="Calibri" w:cs="Calibri"/>
          <w:sz w:val="22"/>
          <w:szCs w:val="22"/>
        </w:rPr>
        <w:t xml:space="preserve"> σε ετήσια βάση μέχρι σήμερα για τις διάφορες περιόδους θέρμανσης</w:t>
      </w:r>
      <w:r w:rsidR="0018718E">
        <w:rPr>
          <w:rFonts w:ascii="Calibri" w:hAnsi="Calibri" w:cs="Calibri"/>
          <w:sz w:val="22"/>
          <w:szCs w:val="22"/>
        </w:rPr>
        <w:t>,</w:t>
      </w:r>
      <w:r w:rsidRPr="00253A39">
        <w:rPr>
          <w:rFonts w:ascii="Calibri" w:hAnsi="Calibri" w:cs="Calibri"/>
          <w:sz w:val="22"/>
          <w:szCs w:val="22"/>
        </w:rPr>
        <w:t xml:space="preserve"> με σκοπό τη ρύθμιση διαφόρων θεμάτων, όπως</w:t>
      </w:r>
      <w:r w:rsidR="0018718E">
        <w:rPr>
          <w:rFonts w:ascii="Calibri" w:hAnsi="Calibri" w:cs="Calibri"/>
          <w:sz w:val="22"/>
          <w:szCs w:val="22"/>
        </w:rPr>
        <w:t>,</w:t>
      </w:r>
      <w:r w:rsidRPr="00253A39">
        <w:rPr>
          <w:rFonts w:ascii="Calibri" w:hAnsi="Calibri" w:cs="Calibri"/>
          <w:sz w:val="22"/>
          <w:szCs w:val="22"/>
        </w:rPr>
        <w:t xml:space="preserve"> ενδεικτικά</w:t>
      </w:r>
      <w:r w:rsidR="0018718E">
        <w:rPr>
          <w:rFonts w:ascii="Calibri" w:hAnsi="Calibri" w:cs="Calibri"/>
          <w:sz w:val="22"/>
          <w:szCs w:val="22"/>
        </w:rPr>
        <w:t>,</w:t>
      </w:r>
      <w:r w:rsidRPr="00253A39">
        <w:rPr>
          <w:rFonts w:ascii="Calibri" w:hAnsi="Calibri" w:cs="Calibri"/>
          <w:sz w:val="22"/>
          <w:szCs w:val="22"/>
        </w:rPr>
        <w:t xml:space="preserve"> ο καθορισμός των </w:t>
      </w:r>
      <w:r w:rsidR="005614E5" w:rsidRPr="00253A39">
        <w:rPr>
          <w:rFonts w:ascii="Calibri" w:hAnsi="Calibri" w:cs="Calibri"/>
          <w:sz w:val="22"/>
          <w:szCs w:val="22"/>
        </w:rPr>
        <w:t>δικαιούχων</w:t>
      </w:r>
      <w:r w:rsidRPr="00253A39">
        <w:rPr>
          <w:rFonts w:ascii="Calibri" w:hAnsi="Calibri" w:cs="Calibri"/>
          <w:sz w:val="22"/>
          <w:szCs w:val="22"/>
        </w:rPr>
        <w:t xml:space="preserve"> του επιδόματος θέρμανσης, τα κριτήρια χορήγησης, το ύψος του επιδόματος, η διαδικασία χορήγησης, οι αρμόδιες υπηρεσίες και λοιπά θέματα σχετικά με τη διαδικασία, το χρόνο, τον τρόπο και τον έλεγχο της χορήγησης του επιδόματος.</w:t>
      </w:r>
    </w:p>
    <w:p w14:paraId="41DA2EC0" w14:textId="77777777" w:rsidR="004B7160" w:rsidRPr="004B7160" w:rsidRDefault="004B7160" w:rsidP="004B7160">
      <w:pPr>
        <w:pStyle w:val="Web"/>
        <w:spacing w:before="120" w:beforeAutospacing="0" w:after="120" w:afterAutospacing="0" w:line="276" w:lineRule="auto"/>
        <w:jc w:val="both"/>
        <w:rPr>
          <w:rFonts w:ascii="Calibri" w:hAnsi="Calibri" w:cs="Calibri"/>
          <w:sz w:val="22"/>
          <w:szCs w:val="22"/>
        </w:rPr>
      </w:pPr>
      <w:r w:rsidRPr="004B7160">
        <w:rPr>
          <w:rFonts w:ascii="Calibri" w:hAnsi="Calibri" w:cs="Calibri"/>
          <w:sz w:val="22"/>
          <w:szCs w:val="22"/>
        </w:rPr>
        <w:t>Το 2017 προβλέφθηκε η διάθεση ποσού 10 εκατ. € ως εφάπαξ ειδικό βοήθημα για τη στήριξη καταναλωτών με χαμηλά εισοδήματα, οι οποίοι έχουν αποσυνδεθεί από το δίκτυο παροχής ηλεκτρικής ενέργειας λόγω ληξιπρόθεσμων οφειλών, με σκοπό την αντιμετώπιση των ενεργειακών τους αναγκών. Επιπρόσθετα, συστήθηκε ειδικός λογαριασμός επανασύνδεσης παροχών ηλεκτρικού ρεύματος με διαχειριστή τον Διαχειριστή Ελληνικού Δικτύου Διανομής Ηλεκτρικής Ενέργειας (ΔΕΔΔΗΕ), ώστε να μεταφερθεί το ως άνω ποσό από τον Κρατικό Προϋπολογισμό εντός του έτους 2017</w:t>
      </w:r>
      <w:r w:rsidRPr="004B7160">
        <w:rPr>
          <w:rFonts w:ascii="Calibri" w:hAnsi="Calibri" w:cs="Calibri"/>
          <w:sz w:val="22"/>
          <w:szCs w:val="22"/>
        </w:rPr>
        <w:footnoteReference w:id="20"/>
      </w:r>
      <w:r w:rsidRPr="004B7160">
        <w:rPr>
          <w:rFonts w:ascii="Calibri" w:hAnsi="Calibri" w:cs="Calibri"/>
          <w:sz w:val="22"/>
          <w:szCs w:val="22"/>
        </w:rPr>
        <w:t xml:space="preserve">. </w:t>
      </w:r>
    </w:p>
    <w:p w14:paraId="6A405044" w14:textId="07A3B0BE" w:rsidR="004B7160" w:rsidRPr="004B7160" w:rsidRDefault="004B7160" w:rsidP="004B7160">
      <w:pPr>
        <w:pStyle w:val="Web"/>
        <w:spacing w:before="120" w:beforeAutospacing="0" w:after="120" w:afterAutospacing="0" w:line="276" w:lineRule="auto"/>
        <w:jc w:val="both"/>
        <w:rPr>
          <w:rFonts w:ascii="Calibri" w:hAnsi="Calibri" w:cs="Calibri"/>
          <w:sz w:val="22"/>
          <w:szCs w:val="22"/>
        </w:rPr>
      </w:pPr>
      <w:r w:rsidRPr="004B7160">
        <w:rPr>
          <w:rFonts w:ascii="Calibri" w:hAnsi="Calibri" w:cs="Calibri"/>
          <w:sz w:val="22"/>
          <w:szCs w:val="22"/>
        </w:rPr>
        <w:t>Το 2021 προβλέφθηκε η χορήγηση επιδότησης από το Ταμείο Ενεργειακής Μετάβασης της τιμολογητέας κατανάλωσης ηλεκτρικής ενέργειας καταναλωτών, των οποίων οι παροχές συνδέονται στη χαμηλή τάση</w:t>
      </w:r>
      <w:r w:rsidR="00247B2D">
        <w:rPr>
          <w:rStyle w:val="ab"/>
          <w:rFonts w:ascii="Calibri" w:hAnsi="Calibri"/>
          <w:sz w:val="22"/>
          <w:szCs w:val="22"/>
        </w:rPr>
        <w:footnoteReference w:id="21"/>
      </w:r>
      <w:r w:rsidRPr="004B7160">
        <w:rPr>
          <w:rFonts w:ascii="Calibri" w:hAnsi="Calibri" w:cs="Calibri"/>
          <w:sz w:val="22"/>
          <w:szCs w:val="22"/>
        </w:rPr>
        <w:t xml:space="preserve">. Δικαιούχοι της επιδότησης είναι όλοι οι καταναλωτές ηλεκτρικής ενέργειας, οι παροχές των οποίων συνδέονται στην χαμηλή τάση, συμπεριλαμβανομένων των δικαιούχων ειδικών τιμολογίων Κοινωνικού Οικιακού Τιμολογίου </w:t>
      </w:r>
      <w:r w:rsidRPr="004B7160">
        <w:rPr>
          <w:rFonts w:ascii="Calibri" w:hAnsi="Calibri" w:cs="Calibri"/>
          <w:sz w:val="22"/>
          <w:szCs w:val="22"/>
        </w:rPr>
        <w:lastRenderedPageBreak/>
        <w:t xml:space="preserve">(ΚΟΤ) και Τιμολογίου Υπηρεσιών Αλληλεγγύης (ΤΥΑ), οι οποίοι λαμβάνουν υψηλότερο ύψος ενίσχυσης σε σχέση με καταναλωτές που δεν εντάσσονται σε αυτά τα τιμολόγια. </w:t>
      </w:r>
    </w:p>
    <w:p w14:paraId="1F3F1CF4" w14:textId="59279F33" w:rsidR="009F5C3D" w:rsidRDefault="00247B2D" w:rsidP="009F5C3D">
      <w:pPr>
        <w:pStyle w:val="Web"/>
        <w:spacing w:before="120" w:beforeAutospacing="0" w:after="120" w:afterAutospacing="0" w:line="276" w:lineRule="auto"/>
        <w:jc w:val="both"/>
        <w:rPr>
          <w:rFonts w:ascii="Calibri" w:hAnsi="Calibri" w:cs="Calibri"/>
          <w:sz w:val="22"/>
          <w:szCs w:val="22"/>
        </w:rPr>
      </w:pPr>
      <w:r>
        <w:rPr>
          <w:rFonts w:ascii="Calibri" w:eastAsia="Calibri" w:hAnsi="Calibri" w:cs="Calibri"/>
          <w:sz w:val="22"/>
          <w:szCs w:val="22"/>
          <w:lang w:eastAsia="en-US"/>
        </w:rPr>
        <w:t xml:space="preserve">Επίσης, </w:t>
      </w:r>
      <w:r w:rsidR="009F5C3D" w:rsidRPr="00375E28">
        <w:rPr>
          <w:rFonts w:ascii="Calibri" w:eastAsia="Calibri" w:hAnsi="Calibri" w:cs="Calibri"/>
          <w:sz w:val="22"/>
          <w:szCs w:val="22"/>
          <w:lang w:eastAsia="en-US"/>
        </w:rPr>
        <w:t xml:space="preserve"> προβλέφθηκε η παροχή στήριξης με τη μορφή επιδόματος θέρμανσης για την χειμερινή περίοδο 2021/2022</w:t>
      </w:r>
      <w:r w:rsidR="004B0F0E">
        <w:rPr>
          <w:rStyle w:val="ab"/>
          <w:rFonts w:ascii="Calibri" w:eastAsia="Calibri" w:hAnsi="Calibri"/>
          <w:sz w:val="22"/>
          <w:szCs w:val="22"/>
          <w:lang w:eastAsia="en-US"/>
        </w:rPr>
        <w:footnoteReference w:id="22"/>
      </w:r>
      <w:r w:rsidR="009F5C3D" w:rsidRPr="00375E28">
        <w:rPr>
          <w:rFonts w:ascii="Calibri" w:eastAsia="Calibri" w:hAnsi="Calibri" w:cs="Calibri"/>
          <w:sz w:val="22"/>
          <w:szCs w:val="22"/>
          <w:lang w:eastAsia="en-US"/>
        </w:rPr>
        <w:t>.</w:t>
      </w:r>
      <w:r w:rsidR="009F5C3D" w:rsidRPr="00FD3BA8">
        <w:rPr>
          <w:rFonts w:ascii="Calibri" w:eastAsia="Calibri" w:hAnsi="Calibri" w:cs="Calibri"/>
          <w:sz w:val="22"/>
          <w:szCs w:val="22"/>
          <w:lang w:eastAsia="en-US"/>
        </w:rPr>
        <w:t xml:space="preserve"> </w:t>
      </w:r>
      <w:r w:rsidR="009F5C3D" w:rsidRPr="00375E28">
        <w:rPr>
          <w:rFonts w:ascii="Calibri" w:hAnsi="Calibri" w:cs="Calibri"/>
          <w:sz w:val="22"/>
          <w:szCs w:val="22"/>
        </w:rPr>
        <w:t xml:space="preserve">Το συγκεκριμένο επίδομα για κάλυψη των θερμικών αναγκών χορηγείται σε φυσικά πρόσωπα, τα οποία για τη θέρμανσή τους καταναλώνουν </w:t>
      </w:r>
      <w:r w:rsidR="009F5C3D" w:rsidRPr="009F5C3D">
        <w:rPr>
          <w:rFonts w:ascii="Calibri" w:hAnsi="Calibri" w:cs="Calibri"/>
          <w:sz w:val="22"/>
          <w:szCs w:val="22"/>
        </w:rPr>
        <w:t xml:space="preserve">πετρέλαιο εσωτερικής καύσης θέρμανσης ή φυσικό αέριο ή υγραέριο ή καυσόξυλα ή βιομάζα (πέλετ) ή θερμική ενέργεια μέσω τηλεθέρμανσης </w:t>
      </w:r>
      <w:r w:rsidR="009F5C3D">
        <w:rPr>
          <w:rFonts w:ascii="Calibri" w:hAnsi="Calibri" w:cs="Calibri"/>
          <w:sz w:val="22"/>
          <w:szCs w:val="22"/>
        </w:rPr>
        <w:t xml:space="preserve">και πληρούν συγκεκριμένα κριτήρια. </w:t>
      </w:r>
      <w:r w:rsidR="009F5C3D" w:rsidRPr="00375E28">
        <w:rPr>
          <w:rFonts w:ascii="Calibri" w:hAnsi="Calibri" w:cs="Calibri"/>
          <w:sz w:val="22"/>
          <w:szCs w:val="22"/>
        </w:rPr>
        <w:t xml:space="preserve">Η παροχή </w:t>
      </w:r>
      <w:r w:rsidR="009F5C3D" w:rsidRPr="00375E28">
        <w:rPr>
          <w:rFonts w:ascii="Calibri" w:eastAsia="Calibri" w:hAnsi="Calibri" w:cs="Calibri"/>
          <w:sz w:val="22"/>
          <w:szCs w:val="22"/>
          <w:lang w:eastAsia="en-US"/>
        </w:rPr>
        <w:t>επιδόματος θέρμανσης</w:t>
      </w:r>
      <w:r w:rsidR="009F5C3D" w:rsidRPr="00375E28">
        <w:rPr>
          <w:rFonts w:ascii="Calibri" w:hAnsi="Calibri" w:cs="Calibri"/>
          <w:sz w:val="22"/>
          <w:szCs w:val="22"/>
        </w:rPr>
        <w:t xml:space="preserve"> </w:t>
      </w:r>
      <w:r w:rsidR="009F5C3D">
        <w:rPr>
          <w:rFonts w:ascii="Calibri" w:hAnsi="Calibri" w:cs="Calibri"/>
          <w:sz w:val="22"/>
          <w:szCs w:val="22"/>
        </w:rPr>
        <w:t>συνεχίζεται μέχρι σήμερα.</w:t>
      </w:r>
    </w:p>
    <w:p w14:paraId="6CA9E3F2" w14:textId="68128FB3" w:rsidR="00D25819" w:rsidRDefault="00247B2D" w:rsidP="006754E7">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Τέλος, σ</w:t>
      </w:r>
      <w:r w:rsidR="00D25819" w:rsidRPr="00A65DA6">
        <w:rPr>
          <w:rFonts w:ascii="Calibri" w:hAnsi="Calibri" w:cs="Calibri"/>
          <w:sz w:val="22"/>
          <w:szCs w:val="22"/>
        </w:rPr>
        <w:t xml:space="preserve">τις 24 Δεκεμβρίου 2021 τέθηκε σε λειτουργία ο πενταψήφιος αριθμός ενεργειακής αλληλεγγύης 15902 για </w:t>
      </w:r>
      <w:r w:rsidRPr="00A65DA6">
        <w:rPr>
          <w:rFonts w:ascii="Calibri" w:hAnsi="Calibri" w:cs="Calibri"/>
          <w:sz w:val="22"/>
          <w:szCs w:val="22"/>
        </w:rPr>
        <w:t xml:space="preserve">την υποβολή αιτήματος επανασύνδεσης της παροχής </w:t>
      </w:r>
      <w:r>
        <w:rPr>
          <w:rFonts w:ascii="Calibri" w:hAnsi="Calibri" w:cs="Calibri"/>
          <w:sz w:val="22"/>
          <w:szCs w:val="22"/>
        </w:rPr>
        <w:t xml:space="preserve">των </w:t>
      </w:r>
      <w:r w:rsidRPr="00A65DA6">
        <w:rPr>
          <w:rFonts w:ascii="Calibri" w:hAnsi="Calibri" w:cs="Calibri"/>
          <w:sz w:val="22"/>
          <w:szCs w:val="22"/>
        </w:rPr>
        <w:t>ευάλωτων νοικοκυριών</w:t>
      </w:r>
      <w:r>
        <w:rPr>
          <w:rFonts w:ascii="Calibri" w:hAnsi="Calibri" w:cs="Calibri"/>
          <w:sz w:val="22"/>
          <w:szCs w:val="22"/>
        </w:rPr>
        <w:t>,</w:t>
      </w:r>
      <w:r w:rsidRPr="00A65DA6">
        <w:rPr>
          <w:rFonts w:ascii="Calibri" w:hAnsi="Calibri" w:cs="Calibri"/>
          <w:sz w:val="22"/>
          <w:szCs w:val="22"/>
        </w:rPr>
        <w:t xml:space="preserve"> με σκοπό </w:t>
      </w:r>
      <w:r w:rsidR="00D25819" w:rsidRPr="00A65DA6">
        <w:rPr>
          <w:rFonts w:ascii="Calibri" w:hAnsi="Calibri" w:cs="Calibri"/>
          <w:sz w:val="22"/>
          <w:szCs w:val="22"/>
        </w:rPr>
        <w:t>τη στήριξ</w:t>
      </w:r>
      <w:r>
        <w:rPr>
          <w:rFonts w:ascii="Calibri" w:hAnsi="Calibri" w:cs="Calibri"/>
          <w:sz w:val="22"/>
          <w:szCs w:val="22"/>
        </w:rPr>
        <w:t>ή τους</w:t>
      </w:r>
      <w:r w:rsidR="00D25819" w:rsidRPr="00A65DA6">
        <w:rPr>
          <w:rFonts w:ascii="Calibri" w:hAnsi="Calibri" w:cs="Calibri"/>
          <w:sz w:val="22"/>
          <w:szCs w:val="22"/>
        </w:rPr>
        <w:t xml:space="preserve"> από τις μεγάλες ανατιμήσεις στο κόστος ενέργειας.</w:t>
      </w:r>
    </w:p>
    <w:p w14:paraId="31B60889" w14:textId="0481A30B" w:rsidR="002C70FF" w:rsidRDefault="002C70FF" w:rsidP="006754E7">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t>Επιπρόσθετα, συγκεκριμένα χρηματοδοτικά προγράμματα για τη βελτίωση της ενεργειακής απόδοσης έχουν ήδη δρομολογηθεί για την καταπολέμηση της ενεργειακής ένδειας. Προς αυτή την κατεύθυνση</w:t>
      </w:r>
      <w:r w:rsidR="00247B2D">
        <w:rPr>
          <w:rFonts w:ascii="Calibri" w:hAnsi="Calibri" w:cs="Calibri"/>
          <w:sz w:val="22"/>
          <w:szCs w:val="22"/>
        </w:rPr>
        <w:t>,</w:t>
      </w:r>
      <w:r w:rsidRPr="00253A39">
        <w:rPr>
          <w:rFonts w:ascii="Calibri" w:hAnsi="Calibri" w:cs="Calibri"/>
          <w:sz w:val="22"/>
          <w:szCs w:val="22"/>
        </w:rPr>
        <w:t xml:space="preserve"> τα προγράμματα για την «ενεργειακή αναβάθμιση κατοικιών» </w:t>
      </w:r>
      <w:r w:rsidR="006754E7">
        <w:rPr>
          <w:rFonts w:ascii="Calibri" w:hAnsi="Calibri" w:cs="Calibri"/>
          <w:sz w:val="22"/>
          <w:szCs w:val="22"/>
        </w:rPr>
        <w:t>αφορούν</w:t>
      </w:r>
      <w:r w:rsidRPr="00253A39">
        <w:rPr>
          <w:rFonts w:ascii="Calibri" w:hAnsi="Calibri" w:cs="Calibri"/>
          <w:sz w:val="22"/>
          <w:szCs w:val="22"/>
        </w:rPr>
        <w:t xml:space="preserve"> στην υλοποίηση παρεμβάσεων</w:t>
      </w:r>
      <w:r w:rsidR="00247B2D">
        <w:rPr>
          <w:rFonts w:ascii="Calibri" w:hAnsi="Calibri" w:cs="Calibri"/>
          <w:sz w:val="22"/>
          <w:szCs w:val="22"/>
        </w:rPr>
        <w:t xml:space="preserve"> σε κατοικίες </w:t>
      </w:r>
      <w:r w:rsidRPr="00253A39">
        <w:rPr>
          <w:rFonts w:ascii="Calibri" w:hAnsi="Calibri" w:cs="Calibri"/>
          <w:sz w:val="22"/>
          <w:szCs w:val="22"/>
        </w:rPr>
        <w:t xml:space="preserve">που έχουν αποδεδειγμένα μικρή ενεργειακή απόδοση και οι οποίες ανήκουν σε ιδιοκτήτες με χαμηλά εισοδήματα χωρίς δυνατότητα πλήρους χρηματοδότησης με ίδια κεφάλαια </w:t>
      </w:r>
      <w:r w:rsidR="00180D90">
        <w:rPr>
          <w:rFonts w:ascii="Calibri" w:hAnsi="Calibri" w:cs="Calibri"/>
          <w:sz w:val="22"/>
          <w:szCs w:val="22"/>
        </w:rPr>
        <w:t xml:space="preserve">των </w:t>
      </w:r>
      <w:r w:rsidR="009D4E54">
        <w:rPr>
          <w:rFonts w:ascii="Calibri" w:hAnsi="Calibri" w:cs="Calibri"/>
          <w:sz w:val="22"/>
          <w:szCs w:val="22"/>
        </w:rPr>
        <w:t xml:space="preserve">σχετικών </w:t>
      </w:r>
      <w:r w:rsidR="00180D90">
        <w:rPr>
          <w:rFonts w:ascii="Calibri" w:hAnsi="Calibri" w:cs="Calibri"/>
          <w:sz w:val="22"/>
          <w:szCs w:val="22"/>
        </w:rPr>
        <w:t>εργασιών</w:t>
      </w:r>
      <w:r w:rsidRPr="00253A39">
        <w:rPr>
          <w:rFonts w:ascii="Calibri" w:hAnsi="Calibri" w:cs="Calibri"/>
          <w:sz w:val="22"/>
          <w:szCs w:val="22"/>
        </w:rPr>
        <w:t xml:space="preserve"> ενεργειακή</w:t>
      </w:r>
      <w:r w:rsidR="00180D90">
        <w:rPr>
          <w:rFonts w:ascii="Calibri" w:hAnsi="Calibri" w:cs="Calibri"/>
          <w:sz w:val="22"/>
          <w:szCs w:val="22"/>
        </w:rPr>
        <w:t>ς</w:t>
      </w:r>
      <w:r w:rsidRPr="00253A39">
        <w:rPr>
          <w:rFonts w:ascii="Calibri" w:hAnsi="Calibri" w:cs="Calibri"/>
          <w:sz w:val="22"/>
          <w:szCs w:val="22"/>
        </w:rPr>
        <w:t xml:space="preserve"> αναβάθμιση</w:t>
      </w:r>
      <w:r w:rsidR="00180D90">
        <w:rPr>
          <w:rFonts w:ascii="Calibri" w:hAnsi="Calibri" w:cs="Calibri"/>
          <w:sz w:val="22"/>
          <w:szCs w:val="22"/>
        </w:rPr>
        <w:t>ς</w:t>
      </w:r>
      <w:r w:rsidRPr="00253A39">
        <w:rPr>
          <w:rFonts w:ascii="Calibri" w:hAnsi="Calibri" w:cs="Calibri"/>
          <w:sz w:val="22"/>
          <w:szCs w:val="22"/>
        </w:rPr>
        <w:t xml:space="preserve">. </w:t>
      </w:r>
      <w:r w:rsidR="006754E7">
        <w:rPr>
          <w:rFonts w:ascii="Calibri" w:hAnsi="Calibri" w:cs="Calibri"/>
          <w:sz w:val="22"/>
          <w:szCs w:val="22"/>
        </w:rPr>
        <w:t xml:space="preserve">Το πρόγραμμα </w:t>
      </w:r>
      <w:r w:rsidR="006754E7" w:rsidRPr="006754E7">
        <w:rPr>
          <w:rFonts w:ascii="Calibri" w:hAnsi="Calibri" w:cs="Calibri"/>
          <w:sz w:val="22"/>
          <w:szCs w:val="22"/>
        </w:rPr>
        <w:t>«Εξοικονομώ 2021»</w:t>
      </w:r>
      <w:r w:rsidR="006754E7">
        <w:rPr>
          <w:rFonts w:ascii="Calibri" w:hAnsi="Calibri" w:cs="Calibri"/>
          <w:sz w:val="22"/>
          <w:szCs w:val="22"/>
        </w:rPr>
        <w:t xml:space="preserve">, το οποίο εντάχθηκε </w:t>
      </w:r>
      <w:r w:rsidR="006754E7" w:rsidRPr="006754E7">
        <w:rPr>
          <w:rFonts w:ascii="Calibri" w:hAnsi="Calibri" w:cs="Calibri"/>
          <w:sz w:val="22"/>
          <w:szCs w:val="22"/>
        </w:rPr>
        <w:t>στα εμβληματικά έργα που επιδοτ</w:t>
      </w:r>
      <w:r w:rsidR="006754E7">
        <w:rPr>
          <w:rFonts w:ascii="Calibri" w:hAnsi="Calibri" w:cs="Calibri"/>
          <w:sz w:val="22"/>
          <w:szCs w:val="22"/>
        </w:rPr>
        <w:t>ούνται</w:t>
      </w:r>
      <w:r w:rsidR="006754E7" w:rsidRPr="006754E7">
        <w:rPr>
          <w:rFonts w:ascii="Calibri" w:hAnsi="Calibri" w:cs="Calibri"/>
          <w:sz w:val="22"/>
          <w:szCs w:val="22"/>
        </w:rPr>
        <w:t xml:space="preserve"> από το Ταμείο Ανάκαμψης και Ανθεκτικότητας</w:t>
      </w:r>
      <w:r w:rsidR="0018718E">
        <w:rPr>
          <w:rFonts w:ascii="Calibri" w:hAnsi="Calibri" w:cs="Calibri"/>
          <w:sz w:val="22"/>
          <w:szCs w:val="22"/>
        </w:rPr>
        <w:t>,</w:t>
      </w:r>
      <w:r w:rsidR="006754E7" w:rsidRPr="006754E7">
        <w:rPr>
          <w:rFonts w:ascii="Calibri" w:hAnsi="Calibri" w:cs="Calibri"/>
          <w:sz w:val="22"/>
          <w:szCs w:val="22"/>
        </w:rPr>
        <w:t xml:space="preserve"> </w:t>
      </w:r>
      <w:r w:rsidR="006754E7">
        <w:rPr>
          <w:rFonts w:ascii="Calibri" w:hAnsi="Calibri" w:cs="Calibri"/>
          <w:sz w:val="22"/>
          <w:szCs w:val="22"/>
        </w:rPr>
        <w:t>προέβλεψε</w:t>
      </w:r>
      <w:r w:rsidR="006754E7" w:rsidRPr="006754E7">
        <w:rPr>
          <w:rFonts w:ascii="Calibri" w:hAnsi="Calibri" w:cs="Calibri"/>
          <w:sz w:val="22"/>
          <w:szCs w:val="22"/>
        </w:rPr>
        <w:t xml:space="preserve"> κίνητρα για τη στήριξη των </w:t>
      </w:r>
      <w:r w:rsidR="0018718E">
        <w:rPr>
          <w:rFonts w:ascii="Calibri" w:hAnsi="Calibri" w:cs="Calibri"/>
          <w:sz w:val="22"/>
          <w:szCs w:val="22"/>
        </w:rPr>
        <w:t xml:space="preserve">ενεργειακά φτωχών </w:t>
      </w:r>
      <w:r w:rsidR="006754E7" w:rsidRPr="006754E7">
        <w:rPr>
          <w:rFonts w:ascii="Calibri" w:hAnsi="Calibri" w:cs="Calibri"/>
          <w:sz w:val="22"/>
          <w:szCs w:val="22"/>
        </w:rPr>
        <w:t xml:space="preserve">νοικοκυριών, </w:t>
      </w:r>
      <w:r w:rsidR="0018718E">
        <w:rPr>
          <w:rFonts w:ascii="Calibri" w:hAnsi="Calibri" w:cs="Calibri"/>
          <w:sz w:val="22"/>
          <w:szCs w:val="22"/>
        </w:rPr>
        <w:t>παρέχοντας</w:t>
      </w:r>
      <w:r w:rsidR="006754E7" w:rsidRPr="006754E7">
        <w:rPr>
          <w:rFonts w:ascii="Calibri" w:hAnsi="Calibri" w:cs="Calibri"/>
          <w:sz w:val="22"/>
          <w:szCs w:val="22"/>
        </w:rPr>
        <w:t xml:space="preserve"> αυξημένο ποσοστ</w:t>
      </w:r>
      <w:r w:rsidR="004C0998">
        <w:rPr>
          <w:rFonts w:ascii="Calibri" w:hAnsi="Calibri" w:cs="Calibri"/>
          <w:sz w:val="22"/>
          <w:szCs w:val="22"/>
        </w:rPr>
        <w:t>ό</w:t>
      </w:r>
      <w:r w:rsidR="006754E7" w:rsidRPr="006754E7">
        <w:rPr>
          <w:rFonts w:ascii="Calibri" w:hAnsi="Calibri" w:cs="Calibri"/>
          <w:sz w:val="22"/>
          <w:szCs w:val="22"/>
        </w:rPr>
        <w:t xml:space="preserve"> </w:t>
      </w:r>
      <w:r w:rsidR="004C0998">
        <w:rPr>
          <w:rFonts w:ascii="Calibri" w:hAnsi="Calibri" w:cs="Calibri"/>
          <w:sz w:val="22"/>
          <w:szCs w:val="22"/>
        </w:rPr>
        <w:t>επιχορήγησης</w:t>
      </w:r>
      <w:r w:rsidR="004C0998" w:rsidRPr="006754E7">
        <w:rPr>
          <w:rFonts w:ascii="Calibri" w:hAnsi="Calibri" w:cs="Calibri"/>
          <w:sz w:val="22"/>
          <w:szCs w:val="22"/>
        </w:rPr>
        <w:t xml:space="preserve"> </w:t>
      </w:r>
      <w:r w:rsidR="006754E7" w:rsidRPr="006754E7">
        <w:rPr>
          <w:rFonts w:ascii="Calibri" w:hAnsi="Calibri" w:cs="Calibri"/>
          <w:sz w:val="22"/>
          <w:szCs w:val="22"/>
        </w:rPr>
        <w:t xml:space="preserve">και </w:t>
      </w:r>
      <w:r w:rsidR="004C0998">
        <w:rPr>
          <w:rFonts w:ascii="Calibri" w:hAnsi="Calibri" w:cs="Calibri"/>
          <w:sz w:val="22"/>
          <w:szCs w:val="22"/>
        </w:rPr>
        <w:t>διακριτό</w:t>
      </w:r>
      <w:r w:rsidR="004C0998" w:rsidRPr="006754E7">
        <w:rPr>
          <w:rFonts w:ascii="Calibri" w:hAnsi="Calibri" w:cs="Calibri"/>
          <w:sz w:val="22"/>
          <w:szCs w:val="22"/>
        </w:rPr>
        <w:t xml:space="preserve"> </w:t>
      </w:r>
      <w:r w:rsidR="006754E7" w:rsidRPr="006754E7">
        <w:rPr>
          <w:rFonts w:ascii="Calibri" w:hAnsi="Calibri" w:cs="Calibri"/>
          <w:sz w:val="22"/>
          <w:szCs w:val="22"/>
        </w:rPr>
        <w:t>προϋπολογισμ</w:t>
      </w:r>
      <w:r w:rsidR="004C0998">
        <w:rPr>
          <w:rFonts w:ascii="Calibri" w:hAnsi="Calibri" w:cs="Calibri"/>
          <w:sz w:val="22"/>
          <w:szCs w:val="22"/>
        </w:rPr>
        <w:t>ό</w:t>
      </w:r>
      <w:r w:rsidR="006754E7" w:rsidRPr="006754E7">
        <w:rPr>
          <w:rFonts w:ascii="Calibri" w:hAnsi="Calibri" w:cs="Calibri"/>
          <w:sz w:val="22"/>
          <w:szCs w:val="22"/>
        </w:rPr>
        <w:t xml:space="preserve"> </w:t>
      </w:r>
      <w:r w:rsidR="006754E7">
        <w:rPr>
          <w:rFonts w:ascii="Calibri" w:hAnsi="Calibri" w:cs="Calibri"/>
          <w:sz w:val="22"/>
          <w:szCs w:val="22"/>
        </w:rPr>
        <w:t>για την ενεργειακή αναβάθμιση των κατοικιών τους</w:t>
      </w:r>
      <w:r w:rsidR="006754E7" w:rsidRPr="006754E7">
        <w:rPr>
          <w:rFonts w:ascii="Calibri" w:hAnsi="Calibri" w:cs="Calibri"/>
          <w:sz w:val="22"/>
          <w:szCs w:val="22"/>
        </w:rPr>
        <w:t>.</w:t>
      </w:r>
      <w:r w:rsidR="006754E7">
        <w:rPr>
          <w:rFonts w:ascii="Calibri" w:hAnsi="Calibri" w:cs="Calibri"/>
          <w:sz w:val="22"/>
          <w:szCs w:val="22"/>
        </w:rPr>
        <w:t xml:space="preserve"> </w:t>
      </w:r>
      <w:r w:rsidR="006754E7" w:rsidRPr="006754E7">
        <w:rPr>
          <w:rFonts w:ascii="Calibri" w:hAnsi="Calibri" w:cs="Calibri"/>
          <w:sz w:val="22"/>
          <w:szCs w:val="22"/>
        </w:rPr>
        <w:t>Το μεγαλύτερο ποσοστό επιχορήγησης (75% για ιδιοκατοίκηση και 65% για δωρεάν παραχώρηση/ενοικίαση) προβλέπεται για νοικοκυριά με ατομικό εισόδημα μικρότερο των 5.000 € και οικογενειακό εισόδημα μικρότερο των 10.000 €.</w:t>
      </w:r>
      <w:r w:rsidR="006754E7">
        <w:rPr>
          <w:rFonts w:ascii="Calibri" w:hAnsi="Calibri" w:cs="Calibri"/>
          <w:sz w:val="22"/>
          <w:szCs w:val="22"/>
        </w:rPr>
        <w:t xml:space="preserve"> </w:t>
      </w:r>
      <w:r w:rsidR="00FA675A">
        <w:rPr>
          <w:rFonts w:ascii="Calibri" w:hAnsi="Calibri" w:cs="Calibri"/>
          <w:sz w:val="22"/>
          <w:szCs w:val="22"/>
        </w:rPr>
        <w:t xml:space="preserve">Προς την ίδια κατεύθυνση κινήθηκε και το πρόγραμμα </w:t>
      </w:r>
      <w:r w:rsidR="00FA675A" w:rsidRPr="006754E7">
        <w:rPr>
          <w:rFonts w:ascii="Calibri" w:hAnsi="Calibri" w:cs="Calibri"/>
          <w:sz w:val="22"/>
          <w:szCs w:val="22"/>
        </w:rPr>
        <w:t>«Εξοικονομώ 202</w:t>
      </w:r>
      <w:r w:rsidR="00FA675A">
        <w:rPr>
          <w:rFonts w:ascii="Calibri" w:hAnsi="Calibri" w:cs="Calibri"/>
          <w:sz w:val="22"/>
          <w:szCs w:val="22"/>
        </w:rPr>
        <w:t>3</w:t>
      </w:r>
      <w:r w:rsidR="00FA675A" w:rsidRPr="006754E7">
        <w:rPr>
          <w:rFonts w:ascii="Calibri" w:hAnsi="Calibri" w:cs="Calibri"/>
          <w:sz w:val="22"/>
          <w:szCs w:val="22"/>
        </w:rPr>
        <w:t>»</w:t>
      </w:r>
      <w:r w:rsidR="00FA675A">
        <w:rPr>
          <w:rFonts w:ascii="Calibri" w:hAnsi="Calibri" w:cs="Calibri"/>
          <w:sz w:val="22"/>
          <w:szCs w:val="22"/>
        </w:rPr>
        <w:t xml:space="preserve">, το οποίο χρηματοδοτήθηκε στο πλαίσιο του </w:t>
      </w:r>
      <w:r w:rsidR="00FA675A" w:rsidRPr="006754E7">
        <w:rPr>
          <w:rFonts w:ascii="Calibri" w:hAnsi="Calibri" w:cs="Calibri"/>
          <w:sz w:val="22"/>
          <w:szCs w:val="22"/>
        </w:rPr>
        <w:t>Ταμείο</w:t>
      </w:r>
      <w:r w:rsidR="00FA675A">
        <w:rPr>
          <w:rFonts w:ascii="Calibri" w:hAnsi="Calibri" w:cs="Calibri"/>
          <w:sz w:val="22"/>
          <w:szCs w:val="22"/>
        </w:rPr>
        <w:t>υ</w:t>
      </w:r>
      <w:r w:rsidR="00FA675A" w:rsidRPr="006754E7">
        <w:rPr>
          <w:rFonts w:ascii="Calibri" w:hAnsi="Calibri" w:cs="Calibri"/>
          <w:sz w:val="22"/>
          <w:szCs w:val="22"/>
        </w:rPr>
        <w:t xml:space="preserve"> Ανάκαμψης και Ανθεκτικότητας</w:t>
      </w:r>
      <w:r w:rsidR="00FA675A">
        <w:rPr>
          <w:rFonts w:ascii="Calibri" w:hAnsi="Calibri" w:cs="Calibri"/>
          <w:sz w:val="22"/>
          <w:szCs w:val="22"/>
        </w:rPr>
        <w:t xml:space="preserve"> διαθέτοντας </w:t>
      </w:r>
      <w:r w:rsidR="00374AFB">
        <w:rPr>
          <w:rFonts w:ascii="Calibri" w:hAnsi="Calibri" w:cs="Calibri"/>
          <w:sz w:val="22"/>
          <w:szCs w:val="22"/>
        </w:rPr>
        <w:t xml:space="preserve">διακριτό </w:t>
      </w:r>
      <w:r w:rsidR="00FA675A" w:rsidRPr="006754E7">
        <w:rPr>
          <w:rFonts w:ascii="Calibri" w:hAnsi="Calibri" w:cs="Calibri"/>
          <w:sz w:val="22"/>
          <w:szCs w:val="22"/>
        </w:rPr>
        <w:t>προϋπολογισμ</w:t>
      </w:r>
      <w:r w:rsidR="00FA675A">
        <w:rPr>
          <w:rFonts w:ascii="Calibri" w:hAnsi="Calibri" w:cs="Calibri"/>
          <w:sz w:val="22"/>
          <w:szCs w:val="22"/>
        </w:rPr>
        <w:t xml:space="preserve">ό για </w:t>
      </w:r>
      <w:r w:rsidR="004C0998">
        <w:rPr>
          <w:rFonts w:ascii="Calibri" w:hAnsi="Calibri" w:cs="Calibri"/>
          <w:sz w:val="22"/>
          <w:szCs w:val="22"/>
        </w:rPr>
        <w:t>ενεργειακά φτωχά νοικοκυριά</w:t>
      </w:r>
      <w:r w:rsidR="00FA675A">
        <w:rPr>
          <w:rFonts w:ascii="Calibri" w:hAnsi="Calibri" w:cs="Calibri"/>
          <w:sz w:val="22"/>
          <w:szCs w:val="22"/>
        </w:rPr>
        <w:t>.</w:t>
      </w:r>
      <w:r w:rsidR="00E179A7">
        <w:rPr>
          <w:rFonts w:ascii="Calibri" w:hAnsi="Calibri" w:cs="Calibri"/>
          <w:sz w:val="22"/>
          <w:szCs w:val="22"/>
        </w:rPr>
        <w:t xml:space="preserve"> Τέλος, το πρόγραμμα </w:t>
      </w:r>
      <w:r w:rsidR="00E179A7" w:rsidRPr="006754E7">
        <w:rPr>
          <w:rFonts w:ascii="Calibri" w:hAnsi="Calibri" w:cs="Calibri"/>
          <w:sz w:val="22"/>
          <w:szCs w:val="22"/>
        </w:rPr>
        <w:t>«Εξοικονομώ 202</w:t>
      </w:r>
      <w:r w:rsidR="00E179A7">
        <w:rPr>
          <w:rFonts w:ascii="Calibri" w:hAnsi="Calibri" w:cs="Calibri"/>
          <w:sz w:val="22"/>
          <w:szCs w:val="22"/>
        </w:rPr>
        <w:t>5</w:t>
      </w:r>
      <w:r w:rsidR="00E179A7" w:rsidRPr="006754E7">
        <w:rPr>
          <w:rFonts w:ascii="Calibri" w:hAnsi="Calibri" w:cs="Calibri"/>
          <w:sz w:val="22"/>
          <w:szCs w:val="22"/>
        </w:rPr>
        <w:t>»</w:t>
      </w:r>
      <w:r w:rsidR="00E179A7">
        <w:rPr>
          <w:rFonts w:ascii="Calibri" w:hAnsi="Calibri" w:cs="Calibri"/>
          <w:sz w:val="22"/>
          <w:szCs w:val="22"/>
        </w:rPr>
        <w:t xml:space="preserve"> </w:t>
      </w:r>
      <w:r w:rsidR="004C0998">
        <w:rPr>
          <w:rFonts w:ascii="Calibri" w:hAnsi="Calibri" w:cs="Calibri"/>
          <w:sz w:val="22"/>
          <w:szCs w:val="22"/>
        </w:rPr>
        <w:t>λαμβάνει ιδιαίτερη μέριμνα</w:t>
      </w:r>
      <w:r w:rsidR="00E179A7" w:rsidRPr="00E179A7">
        <w:rPr>
          <w:rFonts w:ascii="Calibri" w:hAnsi="Calibri" w:cs="Calibri"/>
          <w:sz w:val="22"/>
          <w:szCs w:val="22"/>
        </w:rPr>
        <w:t xml:space="preserve"> για τη στήριξη οικογενειών με μέλος/μέλη ΑμεΑ, πληγέντ</w:t>
      </w:r>
      <w:r w:rsidR="00E179A7">
        <w:rPr>
          <w:rFonts w:ascii="Calibri" w:hAnsi="Calibri" w:cs="Calibri"/>
          <w:sz w:val="22"/>
          <w:szCs w:val="22"/>
        </w:rPr>
        <w:t>ων</w:t>
      </w:r>
      <w:r w:rsidR="00E179A7" w:rsidRPr="00E179A7">
        <w:rPr>
          <w:rFonts w:ascii="Calibri" w:hAnsi="Calibri" w:cs="Calibri"/>
          <w:sz w:val="22"/>
          <w:szCs w:val="22"/>
        </w:rPr>
        <w:t xml:space="preserve"> Θεσσαλίας (συμπεριλαμβανομένων των σεισμόπληκτων της δημοτικής κοινότητας Δαμασίου του Δήμου Τυρνάβου), σεισμόπληκτ</w:t>
      </w:r>
      <w:r w:rsidR="00E179A7">
        <w:rPr>
          <w:rFonts w:ascii="Calibri" w:hAnsi="Calibri" w:cs="Calibri"/>
          <w:sz w:val="22"/>
          <w:szCs w:val="22"/>
        </w:rPr>
        <w:t>των</w:t>
      </w:r>
      <w:r w:rsidR="00E179A7" w:rsidRPr="00E179A7">
        <w:rPr>
          <w:rFonts w:ascii="Calibri" w:hAnsi="Calibri" w:cs="Calibri"/>
          <w:sz w:val="22"/>
          <w:szCs w:val="22"/>
        </w:rPr>
        <w:t xml:space="preserve"> Αρκαλοχωρίου και Σάμου, οικογ</w:t>
      </w:r>
      <w:r w:rsidR="00E179A7">
        <w:rPr>
          <w:rFonts w:ascii="Calibri" w:hAnsi="Calibri" w:cs="Calibri"/>
          <w:sz w:val="22"/>
          <w:szCs w:val="22"/>
        </w:rPr>
        <w:t>ενειών</w:t>
      </w:r>
      <w:r w:rsidR="00E179A7" w:rsidRPr="00E179A7">
        <w:rPr>
          <w:rFonts w:ascii="Calibri" w:hAnsi="Calibri" w:cs="Calibri"/>
          <w:sz w:val="22"/>
          <w:szCs w:val="22"/>
        </w:rPr>
        <w:t xml:space="preserve"> με τρία εξαρτώμενα τέκνα και ευάλωτ</w:t>
      </w:r>
      <w:r w:rsidR="00E179A7">
        <w:rPr>
          <w:rFonts w:ascii="Calibri" w:hAnsi="Calibri" w:cs="Calibri"/>
          <w:sz w:val="22"/>
          <w:szCs w:val="22"/>
        </w:rPr>
        <w:t>ων</w:t>
      </w:r>
      <w:r w:rsidR="00E179A7" w:rsidRPr="00E179A7">
        <w:rPr>
          <w:rFonts w:ascii="Calibri" w:hAnsi="Calibri" w:cs="Calibri"/>
          <w:sz w:val="22"/>
          <w:szCs w:val="22"/>
        </w:rPr>
        <w:t xml:space="preserve"> </w:t>
      </w:r>
      <w:r w:rsidR="00180D90" w:rsidRPr="00E179A7">
        <w:rPr>
          <w:rFonts w:ascii="Calibri" w:hAnsi="Calibri" w:cs="Calibri"/>
          <w:sz w:val="22"/>
          <w:szCs w:val="22"/>
        </w:rPr>
        <w:t>νοικοκυρι</w:t>
      </w:r>
      <w:r w:rsidR="00180D90">
        <w:rPr>
          <w:rFonts w:ascii="Calibri" w:hAnsi="Calibri" w:cs="Calibri"/>
          <w:sz w:val="22"/>
          <w:szCs w:val="22"/>
        </w:rPr>
        <w:t>ών</w:t>
      </w:r>
      <w:r w:rsidR="00E179A7" w:rsidRPr="00E179A7">
        <w:rPr>
          <w:rFonts w:ascii="Calibri" w:hAnsi="Calibri" w:cs="Calibri"/>
          <w:sz w:val="22"/>
          <w:szCs w:val="22"/>
        </w:rPr>
        <w:t xml:space="preserve">, </w:t>
      </w:r>
      <w:r w:rsidR="004C0998">
        <w:rPr>
          <w:rFonts w:ascii="Calibri" w:hAnsi="Calibri" w:cs="Calibri"/>
          <w:sz w:val="22"/>
          <w:szCs w:val="22"/>
        </w:rPr>
        <w:t>αφενός παρέχοντας</w:t>
      </w:r>
      <w:r w:rsidR="00E179A7" w:rsidRPr="00E179A7">
        <w:rPr>
          <w:rFonts w:ascii="Calibri" w:hAnsi="Calibri" w:cs="Calibri"/>
          <w:sz w:val="22"/>
          <w:szCs w:val="22"/>
        </w:rPr>
        <w:t xml:space="preserve"> αυξημένο ποσοστ</w:t>
      </w:r>
      <w:r w:rsidR="004C0998">
        <w:rPr>
          <w:rFonts w:ascii="Calibri" w:hAnsi="Calibri" w:cs="Calibri"/>
          <w:sz w:val="22"/>
          <w:szCs w:val="22"/>
        </w:rPr>
        <w:t>ό</w:t>
      </w:r>
      <w:r w:rsidR="00E179A7" w:rsidRPr="00E179A7">
        <w:rPr>
          <w:rFonts w:ascii="Calibri" w:hAnsi="Calibri" w:cs="Calibri"/>
          <w:sz w:val="22"/>
          <w:szCs w:val="22"/>
        </w:rPr>
        <w:t xml:space="preserve"> </w:t>
      </w:r>
      <w:r w:rsidR="004C0998">
        <w:rPr>
          <w:rFonts w:ascii="Calibri" w:hAnsi="Calibri" w:cs="Calibri"/>
          <w:sz w:val="22"/>
          <w:szCs w:val="22"/>
        </w:rPr>
        <w:t>επιχορήγησης</w:t>
      </w:r>
      <w:r w:rsidR="004C0998" w:rsidRPr="00E179A7">
        <w:rPr>
          <w:rFonts w:ascii="Calibri" w:hAnsi="Calibri" w:cs="Calibri"/>
          <w:sz w:val="22"/>
          <w:szCs w:val="22"/>
        </w:rPr>
        <w:t xml:space="preserve"> </w:t>
      </w:r>
      <w:r w:rsidR="00180D90">
        <w:rPr>
          <w:rFonts w:ascii="Calibri" w:hAnsi="Calibri" w:cs="Calibri"/>
          <w:sz w:val="22"/>
          <w:szCs w:val="22"/>
        </w:rPr>
        <w:t>(έως και 100%)</w:t>
      </w:r>
      <w:r w:rsidR="00E179A7" w:rsidRPr="00E179A7">
        <w:rPr>
          <w:rFonts w:ascii="Calibri" w:hAnsi="Calibri" w:cs="Calibri"/>
          <w:sz w:val="22"/>
          <w:szCs w:val="22"/>
        </w:rPr>
        <w:t xml:space="preserve"> και </w:t>
      </w:r>
      <w:r w:rsidR="004C0998" w:rsidRPr="004C0998">
        <w:rPr>
          <w:rFonts w:ascii="Calibri" w:hAnsi="Calibri" w:cs="Calibri"/>
          <w:sz w:val="22"/>
          <w:szCs w:val="22"/>
        </w:rPr>
        <w:t>αφετέρου εξασφαλίζοντας χρηματοδότηση από ειδικό</w:t>
      </w:r>
      <w:r w:rsidR="00E179A7" w:rsidRPr="00E179A7">
        <w:rPr>
          <w:rFonts w:ascii="Calibri" w:hAnsi="Calibri" w:cs="Calibri"/>
          <w:sz w:val="22"/>
          <w:szCs w:val="22"/>
        </w:rPr>
        <w:t xml:space="preserve"> προϋπολογισμ</w:t>
      </w:r>
      <w:r w:rsidR="004C0998">
        <w:rPr>
          <w:rFonts w:ascii="Calibri" w:hAnsi="Calibri" w:cs="Calibri"/>
          <w:sz w:val="22"/>
          <w:szCs w:val="22"/>
        </w:rPr>
        <w:t>ό</w:t>
      </w:r>
      <w:r w:rsidR="00E179A7">
        <w:rPr>
          <w:rFonts w:ascii="Calibri" w:hAnsi="Calibri" w:cs="Calibri"/>
          <w:sz w:val="22"/>
          <w:szCs w:val="22"/>
        </w:rPr>
        <w:t xml:space="preserve"> από πόρους του </w:t>
      </w:r>
      <w:r w:rsidR="00E179A7" w:rsidRPr="006754E7">
        <w:rPr>
          <w:rFonts w:ascii="Calibri" w:hAnsi="Calibri" w:cs="Calibri"/>
          <w:sz w:val="22"/>
          <w:szCs w:val="22"/>
        </w:rPr>
        <w:t>Ταμείο</w:t>
      </w:r>
      <w:r w:rsidR="00E179A7">
        <w:rPr>
          <w:rFonts w:ascii="Calibri" w:hAnsi="Calibri" w:cs="Calibri"/>
          <w:sz w:val="22"/>
          <w:szCs w:val="22"/>
        </w:rPr>
        <w:t>υ</w:t>
      </w:r>
      <w:r w:rsidR="00E179A7" w:rsidRPr="006754E7">
        <w:rPr>
          <w:rFonts w:ascii="Calibri" w:hAnsi="Calibri" w:cs="Calibri"/>
          <w:sz w:val="22"/>
          <w:szCs w:val="22"/>
        </w:rPr>
        <w:t xml:space="preserve"> Ανάκαμψης και Ανθεκτικότητας</w:t>
      </w:r>
      <w:r w:rsidR="00E179A7">
        <w:rPr>
          <w:rFonts w:ascii="Calibri" w:hAnsi="Calibri" w:cs="Calibri"/>
          <w:sz w:val="22"/>
          <w:szCs w:val="22"/>
        </w:rPr>
        <w:t>.</w:t>
      </w:r>
    </w:p>
    <w:p w14:paraId="1A5358A9" w14:textId="3DA6CDE9" w:rsidR="00840340" w:rsidRDefault="00074E4A" w:rsidP="009E3D3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Παράλληλα</w:t>
      </w:r>
      <w:r w:rsidR="00840340">
        <w:rPr>
          <w:rFonts w:ascii="Calibri" w:hAnsi="Calibri" w:cs="Calibri"/>
          <w:sz w:val="22"/>
          <w:szCs w:val="22"/>
        </w:rPr>
        <w:t xml:space="preserve">, ενισχύθηκε η </w:t>
      </w:r>
      <w:r w:rsidR="00840340" w:rsidRPr="00840340">
        <w:rPr>
          <w:rFonts w:ascii="Calibri" w:hAnsi="Calibri" w:cs="Calibri"/>
          <w:sz w:val="22"/>
          <w:szCs w:val="22"/>
        </w:rPr>
        <w:t>αντικατάσταση συγκεκριμένων κατηγοριών ενεργοβόρων οικιακών ηλεκτρικών συσκευών</w:t>
      </w:r>
      <w:r w:rsidR="00840340">
        <w:rPr>
          <w:rFonts w:ascii="Calibri" w:hAnsi="Calibri" w:cs="Calibri"/>
          <w:sz w:val="22"/>
          <w:szCs w:val="22"/>
        </w:rPr>
        <w:t xml:space="preserve"> </w:t>
      </w:r>
      <w:r w:rsidR="00840340" w:rsidRPr="00840340">
        <w:rPr>
          <w:rFonts w:ascii="Calibri" w:hAnsi="Calibri" w:cs="Calibri"/>
          <w:sz w:val="22"/>
          <w:szCs w:val="22"/>
        </w:rPr>
        <w:t>με</w:t>
      </w:r>
      <w:r w:rsidR="00840340">
        <w:rPr>
          <w:rFonts w:ascii="Calibri" w:hAnsi="Calibri" w:cs="Calibri"/>
          <w:sz w:val="22"/>
          <w:szCs w:val="22"/>
        </w:rPr>
        <w:t xml:space="preserve"> </w:t>
      </w:r>
      <w:r w:rsidR="00840340" w:rsidRPr="00840340">
        <w:rPr>
          <w:rFonts w:ascii="Calibri" w:hAnsi="Calibri" w:cs="Calibri"/>
          <w:sz w:val="22"/>
          <w:szCs w:val="22"/>
        </w:rPr>
        <w:t>νέες</w:t>
      </w:r>
      <w:r w:rsidR="000804C6">
        <w:rPr>
          <w:rFonts w:ascii="Calibri" w:hAnsi="Calibri" w:cs="Calibri"/>
          <w:sz w:val="22"/>
          <w:szCs w:val="22"/>
        </w:rPr>
        <w:t xml:space="preserve">, </w:t>
      </w:r>
      <w:r w:rsidR="00840340" w:rsidRPr="00840340">
        <w:rPr>
          <w:rFonts w:ascii="Calibri" w:hAnsi="Calibri" w:cs="Calibri"/>
          <w:sz w:val="22"/>
          <w:szCs w:val="22"/>
        </w:rPr>
        <w:t>φιλικές προς το περιβάλλον και ενεργειακά πιο αποδοτικές</w:t>
      </w:r>
      <w:r w:rsidR="00840340">
        <w:rPr>
          <w:rFonts w:ascii="Calibri" w:hAnsi="Calibri" w:cs="Calibri"/>
          <w:sz w:val="22"/>
          <w:szCs w:val="22"/>
        </w:rPr>
        <w:t xml:space="preserve"> στο πλαίσιο του προγράμματος </w:t>
      </w:r>
      <w:r w:rsidR="00840340" w:rsidRPr="006754E7">
        <w:rPr>
          <w:rFonts w:ascii="Calibri" w:hAnsi="Calibri" w:cs="Calibri"/>
          <w:sz w:val="22"/>
          <w:szCs w:val="22"/>
        </w:rPr>
        <w:t>«</w:t>
      </w:r>
      <w:r w:rsidR="00840340">
        <w:rPr>
          <w:rFonts w:ascii="Calibri" w:hAnsi="Calibri" w:cs="Calibri"/>
          <w:sz w:val="22"/>
          <w:szCs w:val="22"/>
        </w:rPr>
        <w:t>Ανακυκλώνω-Αλλάζω Συσκευή</w:t>
      </w:r>
      <w:r w:rsidR="00840340" w:rsidRPr="006754E7">
        <w:rPr>
          <w:rFonts w:ascii="Calibri" w:hAnsi="Calibri" w:cs="Calibri"/>
          <w:sz w:val="22"/>
          <w:szCs w:val="22"/>
        </w:rPr>
        <w:t>»</w:t>
      </w:r>
      <w:r w:rsidR="00FB2E75">
        <w:rPr>
          <w:rFonts w:ascii="Calibri" w:hAnsi="Calibri" w:cs="Calibri"/>
          <w:sz w:val="22"/>
          <w:szCs w:val="22"/>
        </w:rPr>
        <w:t>,</w:t>
      </w:r>
      <w:r w:rsidR="00840340">
        <w:rPr>
          <w:rFonts w:ascii="Calibri" w:hAnsi="Calibri" w:cs="Calibri"/>
          <w:sz w:val="22"/>
          <w:szCs w:val="22"/>
        </w:rPr>
        <w:t xml:space="preserve"> </w:t>
      </w:r>
      <w:r w:rsidR="000804C6">
        <w:rPr>
          <w:rFonts w:ascii="Calibri" w:hAnsi="Calibri" w:cs="Calibri"/>
          <w:sz w:val="22"/>
          <w:szCs w:val="22"/>
        </w:rPr>
        <w:t xml:space="preserve">παρέχοντας υψηλότερο ποσοστό ενίσχυσης (50%) στα </w:t>
      </w:r>
      <w:r w:rsidR="00FB2E75">
        <w:rPr>
          <w:rFonts w:ascii="Calibri" w:hAnsi="Calibri" w:cs="Calibri"/>
          <w:sz w:val="22"/>
          <w:szCs w:val="22"/>
        </w:rPr>
        <w:t xml:space="preserve">ενεργειακά φτωχά </w:t>
      </w:r>
      <w:r w:rsidR="000804C6">
        <w:rPr>
          <w:rFonts w:ascii="Calibri" w:hAnsi="Calibri" w:cs="Calibri"/>
          <w:sz w:val="22"/>
          <w:szCs w:val="22"/>
        </w:rPr>
        <w:t xml:space="preserve">νοικοκυριά σε σχέση με τα λοιπά νοικοκυριά. Αντίστοιχα, ενισχύθηκε </w:t>
      </w:r>
      <w:r w:rsidR="00FB2E75" w:rsidRPr="00FB2E75">
        <w:rPr>
          <w:rFonts w:ascii="Calibri" w:hAnsi="Calibri" w:cs="Calibri"/>
          <w:sz w:val="22"/>
          <w:szCs w:val="22"/>
        </w:rPr>
        <w:t xml:space="preserve">με υψηλότερο ποσοστό επιδότησης στα ενεργειακά φτωχά </w:t>
      </w:r>
      <w:r w:rsidR="00FB2E75">
        <w:rPr>
          <w:rFonts w:ascii="Calibri" w:hAnsi="Calibri" w:cs="Calibri"/>
          <w:sz w:val="22"/>
          <w:szCs w:val="22"/>
        </w:rPr>
        <w:t xml:space="preserve">νοικοκυριά </w:t>
      </w:r>
      <w:r w:rsidR="000804C6">
        <w:rPr>
          <w:rFonts w:ascii="Calibri" w:hAnsi="Calibri" w:cs="Calibri"/>
          <w:sz w:val="22"/>
          <w:szCs w:val="22"/>
        </w:rPr>
        <w:t xml:space="preserve">η εγκατάσταση </w:t>
      </w:r>
      <w:r w:rsidR="00176144">
        <w:rPr>
          <w:rFonts w:ascii="Calibri" w:hAnsi="Calibri" w:cs="Calibri"/>
          <w:sz w:val="22"/>
          <w:szCs w:val="22"/>
        </w:rPr>
        <w:t xml:space="preserve">ηλιακού θερμοσίφωνα και αντλίας θερμότητας στο πλαίσιο του προγράμματος </w:t>
      </w:r>
      <w:r w:rsidR="00176144" w:rsidRPr="006754E7">
        <w:rPr>
          <w:rFonts w:ascii="Calibri" w:hAnsi="Calibri" w:cs="Calibri"/>
          <w:sz w:val="22"/>
          <w:szCs w:val="22"/>
        </w:rPr>
        <w:t>«</w:t>
      </w:r>
      <w:r w:rsidR="00176144">
        <w:rPr>
          <w:rFonts w:ascii="Calibri" w:hAnsi="Calibri" w:cs="Calibri"/>
          <w:sz w:val="22"/>
          <w:szCs w:val="22"/>
        </w:rPr>
        <w:t>Αλλάζω Σύστημα Θέρμανσης και Θερμοσίφωνα</w:t>
      </w:r>
      <w:r w:rsidR="00176144" w:rsidRPr="006754E7">
        <w:rPr>
          <w:rFonts w:ascii="Calibri" w:hAnsi="Calibri" w:cs="Calibri"/>
          <w:sz w:val="22"/>
          <w:szCs w:val="22"/>
        </w:rPr>
        <w:t>»</w:t>
      </w:r>
      <w:r w:rsidR="00176144">
        <w:rPr>
          <w:rFonts w:ascii="Calibri" w:hAnsi="Calibri" w:cs="Calibri"/>
          <w:sz w:val="22"/>
          <w:szCs w:val="22"/>
        </w:rPr>
        <w:t xml:space="preserve"> </w:t>
      </w:r>
      <w:r w:rsidR="00FB2E75" w:rsidRPr="00FB2E75">
        <w:rPr>
          <w:rFonts w:ascii="Calibri" w:hAnsi="Calibri" w:cs="Calibri"/>
          <w:sz w:val="22"/>
          <w:szCs w:val="22"/>
        </w:rPr>
        <w:t>(60% για την περίπτωση του ηλιακού θερμοσίφωνα)</w:t>
      </w:r>
      <w:r w:rsidR="00FB2E75" w:rsidDel="00FB2E75">
        <w:rPr>
          <w:rFonts w:ascii="Calibri" w:hAnsi="Calibri" w:cs="Calibri"/>
          <w:sz w:val="22"/>
          <w:szCs w:val="22"/>
        </w:rPr>
        <w:t xml:space="preserve"> </w:t>
      </w:r>
      <w:r w:rsidR="00176144">
        <w:rPr>
          <w:rFonts w:ascii="Calibri" w:hAnsi="Calibri" w:cs="Calibri"/>
          <w:sz w:val="22"/>
          <w:szCs w:val="22"/>
        </w:rPr>
        <w:t>.</w:t>
      </w:r>
    </w:p>
    <w:p w14:paraId="31B6088A" w14:textId="599E8B0F" w:rsidR="002C70FF" w:rsidRPr="00253A39" w:rsidRDefault="002C70FF" w:rsidP="009E3D34">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lastRenderedPageBreak/>
        <w:t>Στο πλαίσιο του Καθεστώτος Επιβολής</w:t>
      </w:r>
      <w:r w:rsidR="00B12E56">
        <w:rPr>
          <w:rStyle w:val="ab"/>
          <w:rFonts w:ascii="Calibri" w:hAnsi="Calibri"/>
          <w:sz w:val="22"/>
          <w:szCs w:val="22"/>
        </w:rPr>
        <w:footnoteReference w:id="23"/>
      </w:r>
      <w:r w:rsidRPr="00253A39">
        <w:rPr>
          <w:rFonts w:ascii="Calibri" w:hAnsi="Calibri" w:cs="Calibri"/>
          <w:sz w:val="22"/>
          <w:szCs w:val="22"/>
        </w:rPr>
        <w:t>, προβλέπεται ότι οι πάροχοι ενέργειας που συμμετέχουν στο συγκεκριμένο μηχανισμό δύνανται να εκπληρώσουν το στόχο εξοικονόμησης ενέργειας με την υλοποίηση τεχνικών ή/και συμπεριφορικών μέτρων σε ευάλωτα νοικοκυριά προσαυξάνοντας τις μονάδες εξοικονόμησης ενέργειας με το συντελεστή 1,4</w:t>
      </w:r>
      <w:r w:rsidR="00D24517">
        <w:rPr>
          <w:rFonts w:ascii="Calibri" w:hAnsi="Calibri" w:cs="Calibri"/>
          <w:sz w:val="22"/>
          <w:szCs w:val="22"/>
        </w:rPr>
        <w:t xml:space="preserve"> </w:t>
      </w:r>
      <w:r w:rsidR="00F91985" w:rsidRPr="00F91985">
        <w:rPr>
          <w:rFonts w:ascii="Calibri" w:hAnsi="Calibri" w:cs="Calibri"/>
          <w:sz w:val="22"/>
          <w:szCs w:val="22"/>
        </w:rPr>
        <w:t>στο πλαίσιο του Καθεστώτος Επιβολής της περιόδου 2021-2030.</w:t>
      </w:r>
    </w:p>
    <w:p w14:paraId="31B6088B" w14:textId="5CB05B5D" w:rsidR="002C70FF" w:rsidRPr="00253A39" w:rsidRDefault="002C70FF" w:rsidP="009E3D34">
      <w:pPr>
        <w:pStyle w:val="Web"/>
        <w:spacing w:before="120" w:beforeAutospacing="0" w:after="120" w:afterAutospacing="0" w:line="276" w:lineRule="auto"/>
        <w:jc w:val="both"/>
        <w:rPr>
          <w:rFonts w:ascii="Calibri" w:hAnsi="Calibri" w:cs="Calibri"/>
          <w:sz w:val="22"/>
          <w:szCs w:val="22"/>
        </w:rPr>
      </w:pPr>
      <w:r w:rsidRPr="00253A39">
        <w:rPr>
          <w:rFonts w:ascii="Calibri" w:hAnsi="Calibri" w:cs="Calibri"/>
          <w:sz w:val="22"/>
          <w:szCs w:val="22"/>
        </w:rPr>
        <w:t>Επίσης, στο πλαίσιο παροχής κινήτρων για την αποτελεσματική λειτουργία των ενεργειακών κοινοτήτων</w:t>
      </w:r>
      <w:r w:rsidR="00B12E56">
        <w:rPr>
          <w:rStyle w:val="ab"/>
          <w:rFonts w:ascii="Calibri" w:hAnsi="Calibri"/>
          <w:sz w:val="22"/>
          <w:szCs w:val="22"/>
        </w:rPr>
        <w:footnoteReference w:id="24"/>
      </w:r>
      <w:r w:rsidR="00FB2E75">
        <w:rPr>
          <w:rFonts w:ascii="Calibri" w:hAnsi="Calibri" w:cs="Calibri"/>
          <w:sz w:val="22"/>
          <w:szCs w:val="22"/>
        </w:rPr>
        <w:t>,</w:t>
      </w:r>
      <w:r w:rsidRPr="00253A39">
        <w:rPr>
          <w:rFonts w:ascii="Calibri" w:hAnsi="Calibri" w:cs="Calibri"/>
          <w:sz w:val="22"/>
          <w:szCs w:val="22"/>
        </w:rPr>
        <w:t xml:space="preserve"> προβλέπ</w:t>
      </w:r>
      <w:r w:rsidR="00074E4A">
        <w:rPr>
          <w:rFonts w:ascii="Calibri" w:hAnsi="Calibri" w:cs="Calibri"/>
          <w:sz w:val="22"/>
          <w:szCs w:val="22"/>
        </w:rPr>
        <w:t>ονται</w:t>
      </w:r>
      <w:r w:rsidRPr="00253A39">
        <w:rPr>
          <w:rFonts w:ascii="Calibri" w:hAnsi="Calibri" w:cs="Calibri"/>
          <w:sz w:val="22"/>
          <w:szCs w:val="22"/>
        </w:rPr>
        <w:t xml:space="preserve"> δράσεις για την υποστήριξη ευάλωτων καταναλωτών και την αντιμετώπιση της ενεργειακής ένδειας </w:t>
      </w:r>
      <w:r w:rsidR="00180D90">
        <w:rPr>
          <w:rFonts w:ascii="Calibri" w:hAnsi="Calibri" w:cs="Calibri"/>
          <w:sz w:val="22"/>
          <w:szCs w:val="22"/>
        </w:rPr>
        <w:t>όσων</w:t>
      </w:r>
      <w:r w:rsidRPr="00253A39">
        <w:rPr>
          <w:rFonts w:ascii="Calibri" w:hAnsi="Calibri" w:cs="Calibri"/>
          <w:sz w:val="22"/>
          <w:szCs w:val="22"/>
        </w:rPr>
        <w:t xml:space="preserve"> ζουν κάτω από το όριο της φτώχειας, εντός της </w:t>
      </w:r>
      <w:r w:rsidR="009D4E54">
        <w:rPr>
          <w:rFonts w:ascii="Calibri" w:hAnsi="Calibri" w:cs="Calibri"/>
          <w:sz w:val="22"/>
          <w:szCs w:val="22"/>
        </w:rPr>
        <w:t>Π</w:t>
      </w:r>
      <w:r w:rsidRPr="00253A39">
        <w:rPr>
          <w:rFonts w:ascii="Calibri" w:hAnsi="Calibri" w:cs="Calibri"/>
          <w:sz w:val="22"/>
          <w:szCs w:val="22"/>
        </w:rPr>
        <w:t>εριφέρειας στην οποία βρίσκεται η έδρα της ενεργειακής κοινότητας, ανεξάρτητα αν έχουν την ιδιότητα του μέλους.</w:t>
      </w:r>
    </w:p>
    <w:p w14:paraId="31B6088C" w14:textId="331A2ED4" w:rsidR="002C70FF" w:rsidRDefault="00F51E47" w:rsidP="009E3D3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Στοχευμένες</w:t>
      </w:r>
      <w:r w:rsidR="002C70FF" w:rsidRPr="00253A39">
        <w:rPr>
          <w:rFonts w:ascii="Calibri" w:hAnsi="Calibri" w:cs="Calibri"/>
          <w:sz w:val="22"/>
          <w:szCs w:val="22"/>
        </w:rPr>
        <w:t xml:space="preserve"> πρωτοβουλίες </w:t>
      </w:r>
      <w:r w:rsidR="00FB2E75">
        <w:rPr>
          <w:rFonts w:ascii="Calibri" w:hAnsi="Calibri" w:cs="Calibri"/>
          <w:sz w:val="22"/>
          <w:szCs w:val="22"/>
        </w:rPr>
        <w:t>έχει αναλάβει και η</w:t>
      </w:r>
      <w:r w:rsidR="002C70FF" w:rsidRPr="00253A39">
        <w:rPr>
          <w:rFonts w:ascii="Calibri" w:hAnsi="Calibri" w:cs="Calibri"/>
          <w:sz w:val="22"/>
          <w:szCs w:val="22"/>
        </w:rPr>
        <w:t xml:space="preserve"> </w:t>
      </w:r>
      <w:r w:rsidR="00180D90" w:rsidRPr="00375E28">
        <w:rPr>
          <w:rFonts w:ascii="Calibri" w:hAnsi="Calibri" w:cs="Calibri"/>
          <w:sz w:val="22"/>
          <w:szCs w:val="22"/>
        </w:rPr>
        <w:t xml:space="preserve">Ρυθμιστική Αρχή </w:t>
      </w:r>
      <w:r w:rsidR="003B730B">
        <w:rPr>
          <w:rFonts w:ascii="Calibri" w:hAnsi="Calibri" w:cs="Calibri"/>
          <w:sz w:val="22"/>
          <w:szCs w:val="22"/>
        </w:rPr>
        <w:t xml:space="preserve">Αποβλήτων </w:t>
      </w:r>
      <w:r w:rsidR="00180D90" w:rsidRPr="00375E28">
        <w:rPr>
          <w:rFonts w:ascii="Calibri" w:hAnsi="Calibri" w:cs="Calibri"/>
          <w:sz w:val="22"/>
          <w:szCs w:val="22"/>
        </w:rPr>
        <w:t xml:space="preserve">Ενέργειας </w:t>
      </w:r>
      <w:r w:rsidR="003B730B">
        <w:rPr>
          <w:rFonts w:ascii="Calibri" w:hAnsi="Calibri" w:cs="Calibri"/>
          <w:sz w:val="22"/>
          <w:szCs w:val="22"/>
        </w:rPr>
        <w:t xml:space="preserve">και Υδάτων </w:t>
      </w:r>
      <w:r w:rsidR="00180D90">
        <w:rPr>
          <w:rFonts w:ascii="Calibri" w:hAnsi="Calibri" w:cs="Calibri"/>
          <w:sz w:val="22"/>
          <w:szCs w:val="22"/>
        </w:rPr>
        <w:t>(</w:t>
      </w:r>
      <w:r w:rsidR="00180D90" w:rsidRPr="00253A39">
        <w:rPr>
          <w:rFonts w:ascii="Calibri" w:hAnsi="Calibri" w:cs="Calibri"/>
          <w:sz w:val="22"/>
          <w:szCs w:val="22"/>
        </w:rPr>
        <w:t>ΡΑ</w:t>
      </w:r>
      <w:r w:rsidR="003B730B">
        <w:rPr>
          <w:rFonts w:ascii="Calibri" w:hAnsi="Calibri" w:cs="Calibri"/>
          <w:sz w:val="22"/>
          <w:szCs w:val="22"/>
        </w:rPr>
        <w:t>Α</w:t>
      </w:r>
      <w:r w:rsidR="00180D90" w:rsidRPr="00253A39">
        <w:rPr>
          <w:rFonts w:ascii="Calibri" w:hAnsi="Calibri" w:cs="Calibri"/>
          <w:sz w:val="22"/>
          <w:szCs w:val="22"/>
        </w:rPr>
        <w:t>Ε</w:t>
      </w:r>
      <w:r w:rsidR="003B730B">
        <w:rPr>
          <w:rFonts w:ascii="Calibri" w:hAnsi="Calibri" w:cs="Calibri"/>
          <w:sz w:val="22"/>
          <w:szCs w:val="22"/>
        </w:rPr>
        <w:t>Υ</w:t>
      </w:r>
      <w:r w:rsidR="00180D90">
        <w:rPr>
          <w:rFonts w:ascii="Calibri" w:hAnsi="Calibri" w:cs="Calibri"/>
          <w:sz w:val="22"/>
          <w:szCs w:val="22"/>
        </w:rPr>
        <w:t>)</w:t>
      </w:r>
      <w:r w:rsidR="00FB2E75">
        <w:rPr>
          <w:rFonts w:ascii="Calibri" w:hAnsi="Calibri" w:cs="Calibri"/>
          <w:sz w:val="22"/>
          <w:szCs w:val="22"/>
        </w:rPr>
        <w:t>για</w:t>
      </w:r>
      <w:r w:rsidR="00D24517">
        <w:rPr>
          <w:rFonts w:ascii="Calibri" w:hAnsi="Calibri" w:cs="Calibri"/>
          <w:sz w:val="22"/>
          <w:szCs w:val="22"/>
        </w:rPr>
        <w:t xml:space="preserve"> </w:t>
      </w:r>
      <w:r w:rsidR="002C70FF" w:rsidRPr="00253A39">
        <w:rPr>
          <w:rFonts w:ascii="Calibri" w:hAnsi="Calibri" w:cs="Calibri"/>
          <w:sz w:val="22"/>
          <w:szCs w:val="22"/>
        </w:rPr>
        <w:t>την παροχή ακριβέστερης πληροφόρησης στους καταναλωτές αναφορικά με τις πρακτικές διακανονισμού των οφειλών και την εφαρμογή διευκολύνσεων σχετικά με την καταβολή προκαταβολής</w:t>
      </w:r>
      <w:r w:rsidR="00D24517">
        <w:rPr>
          <w:rStyle w:val="ab"/>
          <w:rFonts w:ascii="Calibri" w:hAnsi="Calibri"/>
          <w:sz w:val="22"/>
          <w:szCs w:val="22"/>
        </w:rPr>
        <w:footnoteReference w:id="25"/>
      </w:r>
      <w:r w:rsidR="00D24517">
        <w:rPr>
          <w:rFonts w:ascii="Calibri" w:hAnsi="Calibri" w:cs="Calibri"/>
          <w:sz w:val="22"/>
          <w:szCs w:val="22"/>
        </w:rPr>
        <w:t>,</w:t>
      </w:r>
      <w:r w:rsidR="002C70FF" w:rsidRPr="00253A39">
        <w:rPr>
          <w:rFonts w:ascii="Calibri" w:hAnsi="Calibri" w:cs="Calibri"/>
          <w:sz w:val="22"/>
          <w:szCs w:val="22"/>
        </w:rPr>
        <w:t xml:space="preserve"> τον υπολογισμό του ανταλλάγματος </w:t>
      </w:r>
      <w:r w:rsidR="00FB2E75">
        <w:rPr>
          <w:rFonts w:ascii="Calibri" w:hAnsi="Calibri" w:cs="Calibri"/>
          <w:sz w:val="22"/>
          <w:szCs w:val="22"/>
        </w:rPr>
        <w:t>σ</w:t>
      </w:r>
      <w:r w:rsidR="002C70FF" w:rsidRPr="00253A39">
        <w:rPr>
          <w:rFonts w:ascii="Calibri" w:hAnsi="Calibri" w:cs="Calibri"/>
          <w:sz w:val="22"/>
          <w:szCs w:val="22"/>
        </w:rPr>
        <w:t>την περίπτωση των πελατών που εντάσσονται στο ΚΟΤ</w:t>
      </w:r>
      <w:r w:rsidR="00D24517">
        <w:rPr>
          <w:rStyle w:val="ab"/>
          <w:rFonts w:ascii="Calibri" w:hAnsi="Calibri"/>
          <w:sz w:val="22"/>
          <w:szCs w:val="22"/>
        </w:rPr>
        <w:footnoteReference w:id="26"/>
      </w:r>
      <w:r w:rsidR="00FB2E75">
        <w:rPr>
          <w:rFonts w:ascii="Calibri" w:hAnsi="Calibri" w:cs="Calibri"/>
          <w:sz w:val="22"/>
          <w:szCs w:val="22"/>
        </w:rPr>
        <w:t xml:space="preserve">, </w:t>
      </w:r>
      <w:r w:rsidR="002C70FF" w:rsidRPr="00253A39">
        <w:rPr>
          <w:rFonts w:ascii="Calibri" w:hAnsi="Calibri" w:cs="Calibri"/>
          <w:sz w:val="22"/>
          <w:szCs w:val="22"/>
        </w:rPr>
        <w:t xml:space="preserve"> </w:t>
      </w:r>
      <w:r w:rsidR="00FB2E75" w:rsidRPr="00FB2E75">
        <w:rPr>
          <w:rFonts w:ascii="Calibri" w:hAnsi="Calibri" w:cs="Calibri"/>
          <w:sz w:val="22"/>
          <w:szCs w:val="22"/>
        </w:rPr>
        <w:t>ενώ από τις αρχές Δεκεμβρίου 2020 έχει αναπτύξει  εργαλείο</w:t>
      </w:r>
      <w:r w:rsidR="002C70FF" w:rsidRPr="00253A39">
        <w:rPr>
          <w:rFonts w:ascii="Calibri" w:hAnsi="Calibri" w:cs="Calibri"/>
          <w:sz w:val="22"/>
          <w:szCs w:val="22"/>
        </w:rPr>
        <w:t xml:space="preserve"> σύγκρισης των τιμών των ενεργειακών προϊόντων</w:t>
      </w:r>
      <w:r w:rsidR="00D24517">
        <w:rPr>
          <w:rStyle w:val="ab"/>
          <w:rFonts w:ascii="Calibri" w:hAnsi="Calibri"/>
          <w:sz w:val="22"/>
          <w:szCs w:val="22"/>
        </w:rPr>
        <w:footnoteReference w:id="27"/>
      </w:r>
      <w:r w:rsidR="00D870DA">
        <w:rPr>
          <w:rFonts w:ascii="Calibri" w:hAnsi="Calibri" w:cs="Calibri"/>
          <w:sz w:val="22"/>
          <w:szCs w:val="22"/>
        </w:rPr>
        <w:t xml:space="preserve">. </w:t>
      </w:r>
      <w:r w:rsidR="00D870DA" w:rsidRPr="00375E28">
        <w:rPr>
          <w:rFonts w:ascii="Calibri" w:hAnsi="Calibri" w:cs="Calibri"/>
          <w:sz w:val="22"/>
          <w:szCs w:val="22"/>
        </w:rPr>
        <w:t xml:space="preserve">Επιπρόσθετα, στις 13 Σεπτεμβρίου 2021, η </w:t>
      </w:r>
      <w:r w:rsidR="003B730B" w:rsidRPr="00253A39">
        <w:rPr>
          <w:rFonts w:ascii="Calibri" w:hAnsi="Calibri" w:cs="Calibri"/>
          <w:sz w:val="22"/>
          <w:szCs w:val="22"/>
        </w:rPr>
        <w:t>ΡΑ</w:t>
      </w:r>
      <w:r w:rsidR="003B730B">
        <w:rPr>
          <w:rFonts w:ascii="Calibri" w:hAnsi="Calibri" w:cs="Calibri"/>
          <w:sz w:val="22"/>
          <w:szCs w:val="22"/>
        </w:rPr>
        <w:t>Α</w:t>
      </w:r>
      <w:r w:rsidR="003B730B" w:rsidRPr="00253A39">
        <w:rPr>
          <w:rFonts w:ascii="Calibri" w:hAnsi="Calibri" w:cs="Calibri"/>
          <w:sz w:val="22"/>
          <w:szCs w:val="22"/>
        </w:rPr>
        <w:t>Ε</w:t>
      </w:r>
      <w:r w:rsidR="003B730B">
        <w:rPr>
          <w:rFonts w:ascii="Calibri" w:hAnsi="Calibri" w:cs="Calibri"/>
          <w:sz w:val="22"/>
          <w:szCs w:val="22"/>
        </w:rPr>
        <w:t>Υ</w:t>
      </w:r>
      <w:r w:rsidR="003B730B" w:rsidRPr="00375E28">
        <w:rPr>
          <w:rFonts w:ascii="Calibri" w:hAnsi="Calibri" w:cs="Calibri"/>
          <w:sz w:val="22"/>
          <w:szCs w:val="22"/>
        </w:rPr>
        <w:t xml:space="preserve"> </w:t>
      </w:r>
      <w:r w:rsidR="00D870DA" w:rsidRPr="00375E28">
        <w:rPr>
          <w:rFonts w:ascii="Calibri" w:hAnsi="Calibri" w:cs="Calibri"/>
          <w:sz w:val="22"/>
          <w:szCs w:val="22"/>
        </w:rPr>
        <w:t xml:space="preserve">ανακοίνωσε την έναρξη λειτουργίας μιας ακόμα νέας ηλεκτρονικής εφαρμογής για την υποστήριξη των καταναλωτών, της “Πλατφόρμας Ενημέρωσης &amp; Υποστήριξης Καταναλωτών - myRAE”. Η πλατφόρμα “myRAE”, αποτελεί ένα αυτόνομο ηλεκτρονικό σύστημα </w:t>
      </w:r>
      <w:r w:rsidR="00D870DA">
        <w:rPr>
          <w:rFonts w:ascii="Calibri" w:hAnsi="Calibri" w:cs="Calibri"/>
          <w:sz w:val="22"/>
          <w:szCs w:val="22"/>
        </w:rPr>
        <w:t>το οποίο δίνει τη</w:t>
      </w:r>
      <w:r w:rsidR="00D870DA" w:rsidRPr="00375E28">
        <w:rPr>
          <w:rFonts w:ascii="Calibri" w:hAnsi="Calibri" w:cs="Calibri"/>
          <w:sz w:val="22"/>
          <w:szCs w:val="22"/>
        </w:rPr>
        <w:t xml:space="preserve"> δυνατότητα αποστολής, με εύκολο και φιλικό προς τον χρήστη τρόπο, μιας φόρμας παραπόνων προς τους Διαχειριστές Δικτύων και τους Παρόχους υπηρεσιών ηλεκτρικής ενέργειας και φυσικού αερίου.</w:t>
      </w:r>
    </w:p>
    <w:p w14:paraId="64F7D5F7" w14:textId="054AE2F0" w:rsidR="00E430B7" w:rsidRDefault="00124AD8" w:rsidP="00E430B7">
      <w:pPr>
        <w:pStyle w:val="Web"/>
        <w:spacing w:before="120" w:beforeAutospacing="0" w:after="120" w:afterAutospacing="0" w:line="276" w:lineRule="auto"/>
        <w:jc w:val="both"/>
        <w:rPr>
          <w:rFonts w:ascii="Calibri" w:hAnsi="Calibri" w:cs="Calibri"/>
          <w:sz w:val="22"/>
          <w:szCs w:val="22"/>
        </w:rPr>
      </w:pPr>
      <w:r w:rsidRPr="00E430B7">
        <w:rPr>
          <w:rFonts w:ascii="Calibri" w:hAnsi="Calibri" w:cs="Calibri"/>
          <w:sz w:val="22"/>
          <w:szCs w:val="22"/>
        </w:rPr>
        <w:t>Παράλληλα έχουν αναληφθεί πρωτοβουλίες για τη στήριξη ενεργειακά φτωχών νοικοκυριών από ΟΤΑ, όπως</w:t>
      </w:r>
      <w:r w:rsidR="00F51E47" w:rsidRPr="00E430B7">
        <w:rPr>
          <w:rFonts w:ascii="Calibri" w:hAnsi="Calibri" w:cs="Calibri"/>
          <w:sz w:val="22"/>
          <w:szCs w:val="22"/>
        </w:rPr>
        <w:t xml:space="preserve"> το πρόγραμμα “Υποστήριξη των Ενεργειακά Ευάλωτων Νοικοκυριών του Δήμου Ιλίου – Δράσεις για την αντιμετώπιση της Ενεργειακής Ένδειας”, το οποίο εκπονήθηκε το 2022 σε συνεργασία με το Πανεπιστήμιο Δυτικής Αττικής. Στόχος του συγκεκριμένου </w:t>
      </w:r>
      <w:r w:rsidR="004C2765" w:rsidRPr="00E430B7">
        <w:rPr>
          <w:rFonts w:ascii="Calibri" w:hAnsi="Calibri" w:cs="Calibri"/>
          <w:sz w:val="22"/>
          <w:szCs w:val="22"/>
        </w:rPr>
        <w:t xml:space="preserve">πιλοτικού </w:t>
      </w:r>
      <w:r w:rsidR="00F51E47" w:rsidRPr="00E430B7">
        <w:rPr>
          <w:rFonts w:ascii="Calibri" w:hAnsi="Calibri" w:cs="Calibri"/>
          <w:sz w:val="22"/>
          <w:szCs w:val="22"/>
        </w:rPr>
        <w:t xml:space="preserve">προγράμματος ήταν η εξασφάλιση της ελάχιστης εγγυημένης παροχής ηλεκτρικής ενέργειας </w:t>
      </w:r>
      <w:r w:rsidR="00FB2E75" w:rsidRPr="00E430B7">
        <w:rPr>
          <w:rFonts w:ascii="Calibri" w:hAnsi="Calibri" w:cs="Calibri"/>
          <w:sz w:val="22"/>
          <w:szCs w:val="22"/>
        </w:rPr>
        <w:t xml:space="preserve">ενεργειακά φτωχών </w:t>
      </w:r>
      <w:r w:rsidR="00F51E47" w:rsidRPr="00E430B7">
        <w:rPr>
          <w:rFonts w:ascii="Calibri" w:hAnsi="Calibri" w:cs="Calibri"/>
          <w:sz w:val="22"/>
          <w:szCs w:val="22"/>
        </w:rPr>
        <w:t>νοικοκυριών με την τοποθέτηση ηλεκτρονικών «έξυπνων» μετρητών</w:t>
      </w:r>
      <w:r w:rsidR="00E001E7" w:rsidRPr="00E430B7">
        <w:rPr>
          <w:rFonts w:ascii="Calibri" w:hAnsi="Calibri" w:cs="Calibri"/>
          <w:sz w:val="22"/>
          <w:szCs w:val="22"/>
        </w:rPr>
        <w:t>.</w:t>
      </w:r>
      <w:r w:rsidR="00161E5C" w:rsidRPr="00E430B7">
        <w:rPr>
          <w:rFonts w:ascii="Calibri" w:hAnsi="Calibri" w:cs="Calibri"/>
          <w:sz w:val="22"/>
          <w:szCs w:val="22"/>
        </w:rPr>
        <w:t xml:space="preserve"> Το Γραφείο Αντιμετώπισης Ενεργειακής Φτώχειας του Δήμου Αθηναίων </w:t>
      </w:r>
      <w:r w:rsidR="00E430B7" w:rsidRPr="00E430B7">
        <w:rPr>
          <w:rFonts w:ascii="Calibri" w:hAnsi="Calibri" w:cs="Calibri"/>
          <w:sz w:val="22"/>
          <w:szCs w:val="22"/>
        </w:rPr>
        <w:t xml:space="preserve">(ΓΑΕΦ) </w:t>
      </w:r>
      <w:r w:rsidR="00161E5C" w:rsidRPr="00E430B7">
        <w:rPr>
          <w:rFonts w:ascii="Calibri" w:hAnsi="Calibri" w:cs="Calibri"/>
          <w:sz w:val="22"/>
          <w:szCs w:val="22"/>
        </w:rPr>
        <w:t>ιδρύθηκε με σκοπό να χαρτογραφήσει τα ενεργειακά φτωχά νοικοκυριά της Αθήνας</w:t>
      </w:r>
      <w:r w:rsidR="005E62F8" w:rsidRPr="00E430B7">
        <w:rPr>
          <w:rFonts w:ascii="Calibri" w:hAnsi="Calibri" w:cs="Calibri"/>
          <w:sz w:val="22"/>
          <w:szCs w:val="22"/>
        </w:rPr>
        <w:t xml:space="preserve"> και</w:t>
      </w:r>
      <w:r w:rsidR="00161E5C" w:rsidRPr="00E430B7">
        <w:rPr>
          <w:rFonts w:ascii="Calibri" w:hAnsi="Calibri" w:cs="Calibri"/>
          <w:sz w:val="22"/>
          <w:szCs w:val="22"/>
        </w:rPr>
        <w:t xml:space="preserve"> να περιορίσει το φαινόμενο της ενεργειακής φτώχειας και να συμβάλει ενεργά στην καθημερινή ζωή των πολιτών. </w:t>
      </w:r>
      <w:r w:rsidR="005E62F8" w:rsidRPr="00E430B7">
        <w:rPr>
          <w:rFonts w:ascii="Calibri" w:hAnsi="Calibri" w:cs="Calibri"/>
          <w:sz w:val="22"/>
          <w:szCs w:val="22"/>
        </w:rPr>
        <w:t xml:space="preserve">Στα </w:t>
      </w:r>
      <w:r w:rsidR="00E430B7" w:rsidRPr="00E430B7">
        <w:rPr>
          <w:rFonts w:ascii="Calibri" w:hAnsi="Calibri" w:cs="Calibri"/>
          <w:sz w:val="22"/>
          <w:szCs w:val="22"/>
        </w:rPr>
        <w:t xml:space="preserve">ενεργειακά φτωχά </w:t>
      </w:r>
      <w:r w:rsidR="005E62F8" w:rsidRPr="00E430B7">
        <w:rPr>
          <w:rFonts w:ascii="Calibri" w:hAnsi="Calibri" w:cs="Calibri"/>
          <w:sz w:val="22"/>
          <w:szCs w:val="22"/>
        </w:rPr>
        <w:t>νοικοκυριά που ολοκληρώνουν την καταγραφή ενεργειακής επάρκειας, μέσω του ΓΑΕΦ</w:t>
      </w:r>
      <w:r w:rsidR="00E430B7" w:rsidRPr="00E430B7">
        <w:rPr>
          <w:rFonts w:ascii="Calibri" w:hAnsi="Calibri" w:cs="Calibri"/>
          <w:sz w:val="22"/>
          <w:szCs w:val="22"/>
        </w:rPr>
        <w:t>,</w:t>
      </w:r>
      <w:r w:rsidR="005E62F8" w:rsidRPr="00E430B7">
        <w:rPr>
          <w:rFonts w:ascii="Calibri" w:hAnsi="Calibri" w:cs="Calibri"/>
          <w:sz w:val="22"/>
          <w:szCs w:val="22"/>
        </w:rPr>
        <w:t xml:space="preserve"> εκδίδεται η Κάρτα Ενεργειακής Ωφέλειας (ΚΕΩ)</w:t>
      </w:r>
      <w:r w:rsidR="00E430B7" w:rsidRPr="00E430B7">
        <w:rPr>
          <w:rFonts w:ascii="Calibri" w:hAnsi="Calibri" w:cs="Calibri"/>
          <w:sz w:val="22"/>
          <w:szCs w:val="22"/>
        </w:rPr>
        <w:t xml:space="preserve">, </w:t>
      </w:r>
      <w:r w:rsidR="00161E5C" w:rsidRPr="00E430B7">
        <w:rPr>
          <w:rFonts w:ascii="Calibri" w:hAnsi="Calibri" w:cs="Calibri"/>
          <w:sz w:val="22"/>
          <w:szCs w:val="22"/>
        </w:rPr>
        <w:t>επιτρέποντάς τους να έχουν πρόσβαση σε αγαθά που στοχεύουν στη βελτίωση της ενεργειακής απόδοσης των κατοικιών τους</w:t>
      </w:r>
      <w:r w:rsidR="00E430B7" w:rsidRPr="00E430B7">
        <w:rPr>
          <w:rFonts w:ascii="Calibri" w:hAnsi="Calibri" w:cs="Calibri"/>
          <w:sz w:val="22"/>
          <w:szCs w:val="22"/>
        </w:rPr>
        <w:t xml:space="preserve"> και στη μείωση των ενεργειακών τους δαπανών</w:t>
      </w:r>
      <w:r w:rsidR="00161E5C" w:rsidRPr="00E430B7">
        <w:rPr>
          <w:rFonts w:ascii="Calibri" w:hAnsi="Calibri" w:cs="Calibri"/>
          <w:sz w:val="22"/>
          <w:szCs w:val="22"/>
        </w:rPr>
        <w:t>.</w:t>
      </w:r>
      <w:r w:rsidR="00E430B7" w:rsidRPr="00E430B7">
        <w:rPr>
          <w:rFonts w:ascii="Calibri" w:hAnsi="Calibri" w:cs="Calibri"/>
          <w:sz w:val="22"/>
          <w:szCs w:val="22"/>
        </w:rPr>
        <w:t xml:space="preserve">  </w:t>
      </w:r>
    </w:p>
    <w:p w14:paraId="44ABF31E" w14:textId="3CDCBB00" w:rsidR="00A64EB1" w:rsidRPr="00CA1053" w:rsidRDefault="00CA6CF8" w:rsidP="00E430B7">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Τέλος</w:t>
      </w:r>
      <w:r w:rsidRPr="00CA6CF8">
        <w:rPr>
          <w:rFonts w:ascii="Calibri" w:hAnsi="Calibri" w:cs="Calibri"/>
          <w:sz w:val="22"/>
          <w:szCs w:val="22"/>
        </w:rPr>
        <w:t xml:space="preserve">, </w:t>
      </w:r>
      <w:r w:rsidR="001659E0">
        <w:rPr>
          <w:rFonts w:ascii="Calibri" w:hAnsi="Calibri" w:cs="Calibri"/>
          <w:sz w:val="22"/>
          <w:szCs w:val="22"/>
        </w:rPr>
        <w:t xml:space="preserve">συστάθηκε </w:t>
      </w:r>
      <w:r>
        <w:rPr>
          <w:rFonts w:ascii="Calibri" w:hAnsi="Calibri" w:cs="Calibri"/>
          <w:sz w:val="22"/>
          <w:szCs w:val="22"/>
        </w:rPr>
        <w:t>από την ΕΚΠΟΙΖΩ</w:t>
      </w:r>
      <w:r w:rsidR="00E430B7">
        <w:rPr>
          <w:rFonts w:ascii="Calibri" w:hAnsi="Calibri" w:cs="Calibri"/>
          <w:sz w:val="22"/>
          <w:szCs w:val="22"/>
        </w:rPr>
        <w:t>,</w:t>
      </w:r>
      <w:r>
        <w:rPr>
          <w:rFonts w:ascii="Calibri" w:hAnsi="Calibri" w:cs="Calibri"/>
          <w:sz w:val="22"/>
          <w:szCs w:val="22"/>
        </w:rPr>
        <w:t xml:space="preserve"> σε συνεργασία με το ΚΑΠΕ και το ΕΜΠ</w:t>
      </w:r>
      <w:r w:rsidR="00E430B7">
        <w:rPr>
          <w:rFonts w:ascii="Calibri" w:hAnsi="Calibri" w:cs="Calibri"/>
          <w:sz w:val="22"/>
          <w:szCs w:val="22"/>
        </w:rPr>
        <w:t>,</w:t>
      </w:r>
      <w:r>
        <w:rPr>
          <w:rFonts w:ascii="Calibri" w:hAnsi="Calibri" w:cs="Calibri"/>
          <w:sz w:val="22"/>
          <w:szCs w:val="22"/>
        </w:rPr>
        <w:t xml:space="preserve"> </w:t>
      </w:r>
      <w:r w:rsidR="00E430B7">
        <w:rPr>
          <w:rFonts w:ascii="Calibri" w:hAnsi="Calibri" w:cs="Calibri"/>
          <w:sz w:val="22"/>
          <w:szCs w:val="22"/>
        </w:rPr>
        <w:t>Υ</w:t>
      </w:r>
      <w:r w:rsidR="009A7E36">
        <w:rPr>
          <w:rFonts w:ascii="Calibri" w:hAnsi="Calibri" w:cs="Calibri"/>
          <w:sz w:val="22"/>
          <w:szCs w:val="22"/>
        </w:rPr>
        <w:t xml:space="preserve">πηρεσία μας </w:t>
      </w:r>
      <w:r w:rsidR="00E430B7">
        <w:rPr>
          <w:rFonts w:ascii="Calibri" w:hAnsi="Calibri" w:cs="Calibri"/>
          <w:sz w:val="22"/>
          <w:szCs w:val="22"/>
        </w:rPr>
        <w:t>Σ</w:t>
      </w:r>
      <w:r w:rsidR="009A7E36">
        <w:rPr>
          <w:rFonts w:ascii="Calibri" w:hAnsi="Calibri" w:cs="Calibri"/>
          <w:sz w:val="22"/>
          <w:szCs w:val="22"/>
        </w:rPr>
        <w:t xml:space="preserve">τάσης </w:t>
      </w:r>
      <w:r>
        <w:rPr>
          <w:rFonts w:ascii="Calibri" w:hAnsi="Calibri" w:cs="Calibri"/>
          <w:sz w:val="22"/>
          <w:szCs w:val="22"/>
        </w:rPr>
        <w:t>στο</w:t>
      </w:r>
      <w:r w:rsidRPr="00CA6CF8">
        <w:rPr>
          <w:rFonts w:ascii="Calibri" w:hAnsi="Calibri" w:cs="Calibri"/>
          <w:sz w:val="22"/>
          <w:szCs w:val="22"/>
        </w:rPr>
        <w:t xml:space="preserve"> </w:t>
      </w:r>
      <w:r>
        <w:rPr>
          <w:rFonts w:ascii="Calibri" w:hAnsi="Calibri" w:cs="Calibri"/>
          <w:sz w:val="22"/>
          <w:szCs w:val="22"/>
        </w:rPr>
        <w:t>πλαίσιο</w:t>
      </w:r>
      <w:r w:rsidRPr="00CA6CF8">
        <w:rPr>
          <w:rFonts w:ascii="Calibri" w:hAnsi="Calibri" w:cs="Calibri"/>
          <w:sz w:val="22"/>
          <w:szCs w:val="22"/>
        </w:rPr>
        <w:t xml:space="preserve"> </w:t>
      </w:r>
      <w:r>
        <w:rPr>
          <w:rFonts w:ascii="Calibri" w:hAnsi="Calibri" w:cs="Calibri"/>
          <w:sz w:val="22"/>
          <w:szCs w:val="22"/>
        </w:rPr>
        <w:t>του</w:t>
      </w:r>
      <w:r w:rsidRPr="00CA6CF8">
        <w:rPr>
          <w:rFonts w:ascii="Calibri" w:hAnsi="Calibri" w:cs="Calibri"/>
          <w:sz w:val="22"/>
          <w:szCs w:val="22"/>
        </w:rPr>
        <w:t xml:space="preserve"> </w:t>
      </w:r>
      <w:r>
        <w:rPr>
          <w:rFonts w:ascii="Calibri" w:hAnsi="Calibri" w:cs="Calibri"/>
          <w:sz w:val="22"/>
          <w:szCs w:val="22"/>
        </w:rPr>
        <w:t>ευρωπαϊκού</w:t>
      </w:r>
      <w:r w:rsidRPr="00CA6CF8">
        <w:rPr>
          <w:rFonts w:ascii="Calibri" w:hAnsi="Calibri" w:cs="Calibri"/>
          <w:sz w:val="22"/>
          <w:szCs w:val="22"/>
        </w:rPr>
        <w:t xml:space="preserve"> </w:t>
      </w:r>
      <w:r>
        <w:rPr>
          <w:rFonts w:ascii="Calibri" w:hAnsi="Calibri" w:cs="Calibri"/>
          <w:sz w:val="22"/>
          <w:szCs w:val="22"/>
        </w:rPr>
        <w:t>έργου</w:t>
      </w:r>
      <w:r w:rsidRPr="00CA6CF8">
        <w:rPr>
          <w:rFonts w:ascii="Calibri" w:hAnsi="Calibri" w:cs="Calibri"/>
          <w:sz w:val="22"/>
          <w:szCs w:val="22"/>
        </w:rPr>
        <w:t xml:space="preserve"> </w:t>
      </w:r>
      <w:r w:rsidRPr="00E430B7">
        <w:rPr>
          <w:rFonts w:ascii="Calibri" w:hAnsi="Calibri" w:cs="Calibri"/>
          <w:sz w:val="22"/>
          <w:szCs w:val="22"/>
        </w:rPr>
        <w:t>REVERTER</w:t>
      </w:r>
      <w:r w:rsidRPr="00CA6CF8">
        <w:rPr>
          <w:rFonts w:ascii="Calibri" w:hAnsi="Calibri" w:cs="Calibri"/>
          <w:sz w:val="22"/>
          <w:szCs w:val="22"/>
        </w:rPr>
        <w:t xml:space="preserve"> «</w:t>
      </w:r>
      <w:r w:rsidRPr="00E430B7">
        <w:rPr>
          <w:rFonts w:ascii="Calibri" w:hAnsi="Calibri" w:cs="Calibri"/>
          <w:sz w:val="22"/>
          <w:szCs w:val="22"/>
        </w:rPr>
        <w:t>Deep</w:t>
      </w:r>
      <w:r w:rsidRPr="00513CC8">
        <w:rPr>
          <w:rFonts w:ascii="Calibri" w:hAnsi="Calibri" w:cs="Calibri"/>
          <w:sz w:val="22"/>
          <w:szCs w:val="22"/>
        </w:rPr>
        <w:t xml:space="preserve"> </w:t>
      </w:r>
      <w:r w:rsidRPr="00E430B7">
        <w:rPr>
          <w:rFonts w:ascii="Calibri" w:hAnsi="Calibri" w:cs="Calibri"/>
          <w:sz w:val="22"/>
          <w:szCs w:val="22"/>
        </w:rPr>
        <w:t>REnovation</w:t>
      </w:r>
      <w:r w:rsidRPr="00513CC8">
        <w:rPr>
          <w:rFonts w:ascii="Calibri" w:hAnsi="Calibri" w:cs="Calibri"/>
          <w:sz w:val="22"/>
          <w:szCs w:val="22"/>
        </w:rPr>
        <w:t xml:space="preserve"> </w:t>
      </w:r>
      <w:r w:rsidRPr="00E430B7">
        <w:rPr>
          <w:rFonts w:ascii="Calibri" w:hAnsi="Calibri" w:cs="Calibri"/>
          <w:sz w:val="22"/>
          <w:szCs w:val="22"/>
        </w:rPr>
        <w:t>roadmaps</w:t>
      </w:r>
      <w:r w:rsidRPr="00513CC8">
        <w:rPr>
          <w:rFonts w:ascii="Calibri" w:hAnsi="Calibri" w:cs="Calibri"/>
          <w:sz w:val="22"/>
          <w:szCs w:val="22"/>
        </w:rPr>
        <w:t xml:space="preserve"> </w:t>
      </w:r>
      <w:r w:rsidRPr="00E430B7">
        <w:rPr>
          <w:rFonts w:ascii="Calibri" w:hAnsi="Calibri" w:cs="Calibri"/>
          <w:sz w:val="22"/>
          <w:szCs w:val="22"/>
        </w:rPr>
        <w:t>to</w:t>
      </w:r>
      <w:r w:rsidRPr="00513CC8">
        <w:rPr>
          <w:rFonts w:ascii="Calibri" w:hAnsi="Calibri" w:cs="Calibri"/>
          <w:sz w:val="22"/>
          <w:szCs w:val="22"/>
        </w:rPr>
        <w:t xml:space="preserve"> </w:t>
      </w:r>
      <w:r w:rsidRPr="00E430B7">
        <w:rPr>
          <w:rFonts w:ascii="Calibri" w:hAnsi="Calibri" w:cs="Calibri"/>
          <w:sz w:val="22"/>
          <w:szCs w:val="22"/>
        </w:rPr>
        <w:t>decrease</w:t>
      </w:r>
      <w:r w:rsidRPr="00513CC8">
        <w:rPr>
          <w:rFonts w:ascii="Calibri" w:hAnsi="Calibri" w:cs="Calibri"/>
          <w:sz w:val="22"/>
          <w:szCs w:val="22"/>
        </w:rPr>
        <w:t xml:space="preserve"> </w:t>
      </w:r>
      <w:r w:rsidRPr="00E430B7">
        <w:rPr>
          <w:rFonts w:ascii="Calibri" w:hAnsi="Calibri" w:cs="Calibri"/>
          <w:sz w:val="22"/>
          <w:szCs w:val="22"/>
        </w:rPr>
        <w:t>households</w:t>
      </w:r>
      <w:r w:rsidRPr="00513CC8">
        <w:rPr>
          <w:rFonts w:ascii="Calibri" w:hAnsi="Calibri" w:cs="Calibri"/>
          <w:sz w:val="22"/>
          <w:szCs w:val="22"/>
        </w:rPr>
        <w:t xml:space="preserve"> </w:t>
      </w:r>
      <w:r w:rsidRPr="00E430B7">
        <w:rPr>
          <w:rFonts w:ascii="Calibri" w:hAnsi="Calibri" w:cs="Calibri"/>
          <w:sz w:val="22"/>
          <w:szCs w:val="22"/>
        </w:rPr>
        <w:t>VulnERability</w:t>
      </w:r>
      <w:r w:rsidRPr="00513CC8">
        <w:rPr>
          <w:rFonts w:ascii="Calibri" w:hAnsi="Calibri" w:cs="Calibri"/>
          <w:sz w:val="22"/>
          <w:szCs w:val="22"/>
        </w:rPr>
        <w:t xml:space="preserve"> </w:t>
      </w:r>
      <w:r w:rsidRPr="00E430B7">
        <w:rPr>
          <w:rFonts w:ascii="Calibri" w:hAnsi="Calibri" w:cs="Calibri"/>
          <w:sz w:val="22"/>
          <w:szCs w:val="22"/>
        </w:rPr>
        <w:t>To</w:t>
      </w:r>
      <w:r w:rsidRPr="00513CC8">
        <w:rPr>
          <w:rFonts w:ascii="Calibri" w:hAnsi="Calibri" w:cs="Calibri"/>
          <w:sz w:val="22"/>
          <w:szCs w:val="22"/>
        </w:rPr>
        <w:t xml:space="preserve"> </w:t>
      </w:r>
      <w:r w:rsidRPr="00E430B7">
        <w:rPr>
          <w:rFonts w:ascii="Calibri" w:hAnsi="Calibri" w:cs="Calibri"/>
          <w:sz w:val="22"/>
          <w:szCs w:val="22"/>
        </w:rPr>
        <w:t>Energy</w:t>
      </w:r>
      <w:r w:rsidRPr="00513CC8">
        <w:rPr>
          <w:rFonts w:ascii="Calibri" w:hAnsi="Calibri" w:cs="Calibri"/>
          <w:sz w:val="22"/>
          <w:szCs w:val="22"/>
        </w:rPr>
        <w:t xml:space="preserve"> </w:t>
      </w:r>
      <w:r w:rsidRPr="00E430B7">
        <w:rPr>
          <w:rFonts w:ascii="Calibri" w:hAnsi="Calibri" w:cs="Calibri"/>
          <w:sz w:val="22"/>
          <w:szCs w:val="22"/>
        </w:rPr>
        <w:t>poverty</w:t>
      </w:r>
      <w:r w:rsidR="00CA1053">
        <w:rPr>
          <w:rFonts w:ascii="Calibri" w:hAnsi="Calibri" w:cs="Calibri"/>
          <w:sz w:val="22"/>
          <w:szCs w:val="22"/>
        </w:rPr>
        <w:t>»</w:t>
      </w:r>
      <w:r>
        <w:rPr>
          <w:rFonts w:ascii="Calibri" w:hAnsi="Calibri" w:cs="Calibri"/>
          <w:sz w:val="22"/>
          <w:szCs w:val="22"/>
        </w:rPr>
        <w:t xml:space="preserve">, με σκοπό την </w:t>
      </w:r>
      <w:r w:rsidRPr="00CA6CF8">
        <w:rPr>
          <w:rFonts w:ascii="Calibri" w:hAnsi="Calibri" w:cs="Calibri"/>
          <w:sz w:val="22"/>
          <w:szCs w:val="22"/>
        </w:rPr>
        <w:t>ενημέρωση</w:t>
      </w:r>
      <w:r>
        <w:rPr>
          <w:rFonts w:ascii="Calibri" w:hAnsi="Calibri" w:cs="Calibri"/>
          <w:sz w:val="22"/>
          <w:szCs w:val="22"/>
        </w:rPr>
        <w:t xml:space="preserve"> και την υποστήριξη </w:t>
      </w:r>
      <w:r w:rsidR="009A7E36">
        <w:rPr>
          <w:rFonts w:ascii="Calibri" w:hAnsi="Calibri" w:cs="Calibri"/>
          <w:sz w:val="22"/>
          <w:szCs w:val="22"/>
        </w:rPr>
        <w:lastRenderedPageBreak/>
        <w:t xml:space="preserve">ενεργειακά φτωχών </w:t>
      </w:r>
      <w:r>
        <w:rPr>
          <w:rFonts w:ascii="Calibri" w:hAnsi="Calibri" w:cs="Calibri"/>
          <w:sz w:val="22"/>
          <w:szCs w:val="22"/>
        </w:rPr>
        <w:t xml:space="preserve">νοικοκυριών </w:t>
      </w:r>
      <w:r w:rsidR="00A64EB1">
        <w:rPr>
          <w:rFonts w:ascii="Calibri" w:hAnsi="Calibri" w:cs="Calibri"/>
          <w:sz w:val="22"/>
          <w:szCs w:val="22"/>
        </w:rPr>
        <w:t>για την</w:t>
      </w:r>
      <w:r>
        <w:rPr>
          <w:rFonts w:ascii="Calibri" w:hAnsi="Calibri" w:cs="Calibri"/>
          <w:sz w:val="22"/>
          <w:szCs w:val="22"/>
        </w:rPr>
        <w:t xml:space="preserve"> </w:t>
      </w:r>
      <w:r w:rsidRPr="00CA6CF8">
        <w:rPr>
          <w:rFonts w:ascii="Calibri" w:hAnsi="Calibri" w:cs="Calibri"/>
          <w:sz w:val="22"/>
          <w:szCs w:val="22"/>
        </w:rPr>
        <w:t xml:space="preserve">ενεργειακή αναβάθμιση </w:t>
      </w:r>
      <w:r>
        <w:rPr>
          <w:rFonts w:ascii="Calibri" w:hAnsi="Calibri" w:cs="Calibri"/>
          <w:sz w:val="22"/>
          <w:szCs w:val="22"/>
        </w:rPr>
        <w:t xml:space="preserve">των </w:t>
      </w:r>
      <w:r w:rsidRPr="00CA6CF8">
        <w:rPr>
          <w:rFonts w:ascii="Calibri" w:hAnsi="Calibri" w:cs="Calibri"/>
          <w:sz w:val="22"/>
          <w:szCs w:val="22"/>
        </w:rPr>
        <w:t>κατοικιών</w:t>
      </w:r>
      <w:r>
        <w:rPr>
          <w:rFonts w:ascii="Calibri" w:hAnsi="Calibri" w:cs="Calibri"/>
          <w:sz w:val="22"/>
          <w:szCs w:val="22"/>
        </w:rPr>
        <w:t xml:space="preserve"> </w:t>
      </w:r>
      <w:r w:rsidR="001659E0">
        <w:rPr>
          <w:rFonts w:ascii="Calibri" w:hAnsi="Calibri" w:cs="Calibri"/>
          <w:sz w:val="22"/>
          <w:szCs w:val="22"/>
        </w:rPr>
        <w:t>τους μέσω της ριζικής ανακαίνισ</w:t>
      </w:r>
      <w:r w:rsidR="009A7E36">
        <w:rPr>
          <w:rFonts w:ascii="Calibri" w:hAnsi="Calibri" w:cs="Calibri"/>
          <w:sz w:val="22"/>
          <w:szCs w:val="22"/>
        </w:rPr>
        <w:t>ή</w:t>
      </w:r>
      <w:r w:rsidR="001659E0">
        <w:rPr>
          <w:rFonts w:ascii="Calibri" w:hAnsi="Calibri" w:cs="Calibri"/>
          <w:sz w:val="22"/>
          <w:szCs w:val="22"/>
        </w:rPr>
        <w:t>ς τους</w:t>
      </w:r>
      <w:r>
        <w:rPr>
          <w:rFonts w:ascii="Calibri" w:hAnsi="Calibri" w:cs="Calibri"/>
          <w:sz w:val="22"/>
          <w:szCs w:val="22"/>
        </w:rPr>
        <w:t>.</w:t>
      </w:r>
      <w:r w:rsidR="00CA1053">
        <w:rPr>
          <w:rFonts w:ascii="Calibri" w:hAnsi="Calibri" w:cs="Calibri"/>
          <w:sz w:val="22"/>
          <w:szCs w:val="22"/>
        </w:rPr>
        <w:t xml:space="preserve"> Αντίστοιχα, </w:t>
      </w:r>
      <w:r w:rsidR="00CA1053" w:rsidRPr="00CA1053">
        <w:rPr>
          <w:rFonts w:ascii="Calibri" w:hAnsi="Calibri" w:cs="Calibri"/>
          <w:sz w:val="22"/>
          <w:szCs w:val="22"/>
        </w:rPr>
        <w:t>Τοπικά Γραφεία Υποστήριξης Ενεργειακής Φτώχειας</w:t>
      </w:r>
      <w:r w:rsidR="00CA1053">
        <w:rPr>
          <w:rFonts w:ascii="Calibri" w:hAnsi="Calibri" w:cs="Calibri"/>
          <w:sz w:val="22"/>
          <w:szCs w:val="22"/>
        </w:rPr>
        <w:t xml:space="preserve"> ιδρύθηκαν στο πλαίσιο του ευρωπαϊκού</w:t>
      </w:r>
      <w:r w:rsidR="00CA1053" w:rsidRPr="00CA6CF8">
        <w:rPr>
          <w:rFonts w:ascii="Calibri" w:hAnsi="Calibri" w:cs="Calibri"/>
          <w:sz w:val="22"/>
          <w:szCs w:val="22"/>
        </w:rPr>
        <w:t xml:space="preserve"> </w:t>
      </w:r>
      <w:r w:rsidR="00CA1053">
        <w:rPr>
          <w:rFonts w:ascii="Calibri" w:hAnsi="Calibri" w:cs="Calibri"/>
          <w:sz w:val="22"/>
          <w:szCs w:val="22"/>
        </w:rPr>
        <w:t xml:space="preserve">έργου </w:t>
      </w:r>
      <w:r w:rsidR="00CA1053" w:rsidRPr="00CA1053">
        <w:rPr>
          <w:rFonts w:ascii="Calibri" w:hAnsi="Calibri" w:cs="Calibri"/>
          <w:sz w:val="22"/>
          <w:szCs w:val="22"/>
          <w:lang w:val="en-US"/>
        </w:rPr>
        <w:t>POWERPOOR</w:t>
      </w:r>
      <w:r w:rsidR="00CA1053">
        <w:rPr>
          <w:rFonts w:ascii="Calibri" w:hAnsi="Calibri" w:cs="Calibri"/>
          <w:sz w:val="22"/>
          <w:szCs w:val="22"/>
        </w:rPr>
        <w:t xml:space="preserve"> «</w:t>
      </w:r>
      <w:r w:rsidR="00CA1053" w:rsidRPr="00CA1053">
        <w:rPr>
          <w:rFonts w:ascii="Calibri" w:hAnsi="Calibri" w:cs="Calibri"/>
          <w:sz w:val="22"/>
          <w:szCs w:val="22"/>
          <w:lang w:val="en-US"/>
        </w:rPr>
        <w:t>Empowering</w:t>
      </w:r>
      <w:r w:rsidR="00CA1053" w:rsidRPr="00A64EB1">
        <w:t xml:space="preserve"> </w:t>
      </w:r>
      <w:r w:rsidR="00CA1053" w:rsidRPr="00CA1053">
        <w:rPr>
          <w:rFonts w:ascii="Calibri" w:hAnsi="Calibri" w:cs="Calibri"/>
          <w:sz w:val="22"/>
          <w:szCs w:val="22"/>
          <w:lang w:val="en-US"/>
        </w:rPr>
        <w:t>Energy</w:t>
      </w:r>
      <w:r w:rsidR="00CA1053" w:rsidRPr="00A64EB1">
        <w:t xml:space="preserve"> </w:t>
      </w:r>
      <w:r w:rsidR="00CA1053" w:rsidRPr="00CA1053">
        <w:rPr>
          <w:rFonts w:ascii="Calibri" w:hAnsi="Calibri" w:cs="Calibri"/>
          <w:sz w:val="22"/>
          <w:szCs w:val="22"/>
          <w:lang w:val="en-US"/>
        </w:rPr>
        <w:t>Poor</w:t>
      </w:r>
      <w:r w:rsidR="00CA1053" w:rsidRPr="00A64EB1">
        <w:t xml:space="preserve"> </w:t>
      </w:r>
      <w:r w:rsidR="00CA1053" w:rsidRPr="00CA1053">
        <w:rPr>
          <w:rFonts w:ascii="Calibri" w:hAnsi="Calibri" w:cs="Calibri"/>
          <w:sz w:val="22"/>
          <w:szCs w:val="22"/>
          <w:lang w:val="en-US"/>
        </w:rPr>
        <w:t>Citizens</w:t>
      </w:r>
      <w:r w:rsidR="00CA1053" w:rsidRPr="00A64EB1">
        <w:t xml:space="preserve"> </w:t>
      </w:r>
      <w:r w:rsidR="00CA1053" w:rsidRPr="00CA1053">
        <w:rPr>
          <w:rFonts w:ascii="Calibri" w:hAnsi="Calibri" w:cs="Calibri"/>
          <w:sz w:val="22"/>
          <w:szCs w:val="22"/>
          <w:lang w:val="en-US"/>
        </w:rPr>
        <w:t>through</w:t>
      </w:r>
      <w:r w:rsidR="00CA1053" w:rsidRPr="00A64EB1">
        <w:t xml:space="preserve"> </w:t>
      </w:r>
      <w:r w:rsidR="00CA1053" w:rsidRPr="00CA1053">
        <w:rPr>
          <w:rFonts w:ascii="Calibri" w:hAnsi="Calibri" w:cs="Calibri"/>
          <w:sz w:val="22"/>
          <w:szCs w:val="22"/>
          <w:lang w:val="en-US"/>
        </w:rPr>
        <w:t>Energy</w:t>
      </w:r>
      <w:r w:rsidR="00CA1053">
        <w:rPr>
          <w:rFonts w:ascii="Calibri" w:hAnsi="Calibri" w:cs="Calibri"/>
          <w:sz w:val="22"/>
          <w:szCs w:val="22"/>
        </w:rPr>
        <w:t xml:space="preserve"> </w:t>
      </w:r>
      <w:r w:rsidR="00CA1053" w:rsidRPr="00CA1053">
        <w:rPr>
          <w:rFonts w:ascii="Calibri" w:hAnsi="Calibri" w:cs="Calibri"/>
          <w:sz w:val="22"/>
          <w:szCs w:val="22"/>
          <w:lang w:val="en-US"/>
        </w:rPr>
        <w:t>Cooperative</w:t>
      </w:r>
      <w:r w:rsidR="00CA1053" w:rsidRPr="00A64EB1">
        <w:t xml:space="preserve"> </w:t>
      </w:r>
      <w:r w:rsidR="00CA1053" w:rsidRPr="00CA1053">
        <w:rPr>
          <w:rFonts w:ascii="Calibri" w:hAnsi="Calibri" w:cs="Calibri"/>
          <w:sz w:val="22"/>
          <w:szCs w:val="22"/>
          <w:lang w:val="en-US"/>
        </w:rPr>
        <w:t>Initiatives</w:t>
      </w:r>
      <w:r w:rsidR="00CA1053">
        <w:rPr>
          <w:rFonts w:ascii="Calibri" w:hAnsi="Calibri" w:cs="Calibri"/>
          <w:sz w:val="22"/>
          <w:szCs w:val="22"/>
        </w:rPr>
        <w:t>».</w:t>
      </w:r>
    </w:p>
    <w:p w14:paraId="31B6088E" w14:textId="77777777" w:rsidR="002C70FF" w:rsidRPr="00A1423E" w:rsidRDefault="002C70FF" w:rsidP="009E3D34">
      <w:pPr>
        <w:pStyle w:val="2"/>
        <w:numPr>
          <w:ilvl w:val="1"/>
          <w:numId w:val="1"/>
        </w:numPr>
        <w:spacing w:before="120" w:after="120"/>
        <w:rPr>
          <w:rFonts w:ascii="Calibri" w:hAnsi="Calibri" w:cs="Calibri"/>
          <w:color w:val="002060"/>
        </w:rPr>
      </w:pPr>
      <w:bookmarkStart w:id="4" w:name="_Toc214271392"/>
      <w:r>
        <w:rPr>
          <w:rFonts w:ascii="Calibri" w:hAnsi="Calibri" w:cs="Calibri"/>
          <w:color w:val="002060"/>
        </w:rPr>
        <w:t>Υφιστάμενη κατάσταση ενεργειακής ένδειας</w:t>
      </w:r>
      <w:bookmarkEnd w:id="4"/>
    </w:p>
    <w:p w14:paraId="31B6088F" w14:textId="3CE50BE5" w:rsidR="002C70FF" w:rsidRDefault="002C70FF" w:rsidP="009E3D34">
      <w:pPr>
        <w:spacing w:before="120" w:after="120"/>
        <w:jc w:val="both"/>
      </w:pPr>
      <w:r w:rsidRPr="00A1423E">
        <w:t xml:space="preserve">Το φαινόμενο της ενεργειακής </w:t>
      </w:r>
      <w:r>
        <w:t>ένδειας</w:t>
      </w:r>
      <w:r w:rsidRPr="00A1423E">
        <w:t xml:space="preserve"> </w:t>
      </w:r>
      <w:r w:rsidR="00244FDC">
        <w:t>επιδεινώθηκε δραματικά κατά την προηγούμενη δεκαετία</w:t>
      </w:r>
      <w:r w:rsidR="002D6801">
        <w:t>,</w:t>
      </w:r>
      <w:r w:rsidR="00244FDC">
        <w:t xml:space="preserve"> </w:t>
      </w:r>
      <w:r w:rsidRPr="00A1423E">
        <w:t xml:space="preserve">κυρίως </w:t>
      </w:r>
      <w:r>
        <w:t>λόγω των</w:t>
      </w:r>
      <w:r w:rsidRPr="00A1423E">
        <w:t xml:space="preserve"> </w:t>
      </w:r>
      <w:r>
        <w:t xml:space="preserve">επιπτώσεων </w:t>
      </w:r>
      <w:r w:rsidRPr="00A1423E">
        <w:t xml:space="preserve">της οικονομικής ύφεσης. </w:t>
      </w:r>
      <w:r w:rsidR="00244FDC">
        <w:t>Τα τελευταία χρόνια, παρά τη βελτίωση των μακρο-οικονομικών συνθηκών, εξακολουθεί να επηρεάζει σημαντικό αριθμό νοικοκυριών</w:t>
      </w:r>
      <w:r w:rsidR="00E001E7">
        <w:t>,</w:t>
      </w:r>
      <w:r w:rsidR="00244FDC">
        <w:t xml:space="preserve"> </w:t>
      </w:r>
      <w:r w:rsidR="00E64263">
        <w:t>με</w:t>
      </w:r>
      <w:r w:rsidR="00244FDC">
        <w:t xml:space="preserve"> αποτέλεσμα την μεταβλητότητα και την αύξηση των τιμών ενέργειας. Οι εξελίξεις αυτές</w:t>
      </w:r>
      <w:r>
        <w:t xml:space="preserve"> </w:t>
      </w:r>
      <w:r w:rsidR="00244FDC">
        <w:t xml:space="preserve">έκαναν </w:t>
      </w:r>
      <w:r>
        <w:t xml:space="preserve">επιτακτική την ανάγκη για αποτελεσματικότερη παρακολούθηση της εξέλιξης του </w:t>
      </w:r>
      <w:r w:rsidR="00244FDC">
        <w:t xml:space="preserve">φαινομένου </w:t>
      </w:r>
      <w:r>
        <w:t>στα  Κράτη-Μέλη.</w:t>
      </w:r>
    </w:p>
    <w:p w14:paraId="31B60890" w14:textId="6E4BDD8C" w:rsidR="002C70FF" w:rsidRPr="00A1423E" w:rsidRDefault="00E64263" w:rsidP="00654ACB">
      <w:pPr>
        <w:spacing w:before="120" w:after="120"/>
        <w:jc w:val="both"/>
      </w:pPr>
      <w:r>
        <w:t>Η</w:t>
      </w:r>
      <w:r w:rsidR="00095573">
        <w:t xml:space="preserve"> Οδηγία 2023/1791/ΕΕ περιγράφει τις βασικές αρχές που πρέπει να ληφθούν υπόψη από τα Κράτη-Μέλη για τον ορισμό της </w:t>
      </w:r>
      <w:r w:rsidR="002C70FF">
        <w:t>ενεργειακή</w:t>
      </w:r>
      <w:r w:rsidR="00095573">
        <w:t>ς</w:t>
      </w:r>
      <w:r w:rsidR="002C70FF" w:rsidRPr="00A1423E">
        <w:t xml:space="preserve"> </w:t>
      </w:r>
      <w:r w:rsidR="002C70FF">
        <w:t>ένδεια</w:t>
      </w:r>
      <w:r w:rsidR="00095573">
        <w:t>ς</w:t>
      </w:r>
      <w:r w:rsidR="002C70FF" w:rsidRPr="00A1423E">
        <w:t xml:space="preserve">, </w:t>
      </w:r>
      <w:r>
        <w:t xml:space="preserve">ενώ </w:t>
      </w:r>
      <w:r w:rsidRPr="00A1423E">
        <w:t xml:space="preserve">έχουν αναπτυχθεί </w:t>
      </w:r>
      <w:r w:rsidR="002C70FF" w:rsidRPr="00A1423E">
        <w:t xml:space="preserve">διάφορες μεθοδολογικές προσεγγίσεις για τον προσδιορισμό των </w:t>
      </w:r>
      <w:r w:rsidR="002C70FF">
        <w:rPr>
          <w:lang w:eastAsia="el-GR"/>
        </w:rPr>
        <w:t xml:space="preserve">πληττόμενων </w:t>
      </w:r>
      <w:r w:rsidR="002C70FF">
        <w:t>νοικοκυριών.</w:t>
      </w:r>
    </w:p>
    <w:p w14:paraId="31B60891" w14:textId="6F7F40C3" w:rsidR="002C70FF" w:rsidRDefault="002C70FF" w:rsidP="004052D8">
      <w:pPr>
        <w:spacing w:before="120" w:after="120"/>
        <w:jc w:val="both"/>
      </w:pPr>
      <w:r>
        <w:t>Στο πλαίσιο του Ευρωπαϊκού Παρατηρητηρίου για την Ενεργειακή Φτώχεια</w:t>
      </w:r>
      <w:r>
        <w:rPr>
          <w:rStyle w:val="ab"/>
          <w:rFonts w:cs="Calibri"/>
        </w:rPr>
        <w:footnoteReference w:id="28"/>
      </w:r>
      <w:r>
        <w:t xml:space="preserve"> επιλέχθηκαν οι ακόλουθοι δείκτες με σκοπό τη συγκριτική αξιολόγηση των Κρατών-Μελών και την αποτίμηση της εξέλιξης του φαινομένου σε ετήσια βάση:</w:t>
      </w:r>
    </w:p>
    <w:p w14:paraId="31B60892" w14:textId="77777777" w:rsidR="002C70FF" w:rsidRDefault="002C70FF" w:rsidP="00C1313E">
      <w:pPr>
        <w:pStyle w:val="a5"/>
        <w:numPr>
          <w:ilvl w:val="0"/>
          <w:numId w:val="34"/>
        </w:numPr>
        <w:spacing w:before="120" w:after="120"/>
        <w:jc w:val="both"/>
      </w:pPr>
      <w:r w:rsidRPr="00ED0CBE">
        <w:rPr>
          <w:b/>
          <w:bCs/>
        </w:rPr>
        <w:t>Δείκτης Μ/2</w:t>
      </w:r>
      <w:r>
        <w:t>, ο οποίος απεικονίζει τον αριθμό των νοικοκυριών στα οποία οι δαπάνες για την αγορά ενεργειακών προϊόντων είναι χαμηλότερες από το ήμισυ της διαμέσου σε εθνικό επίπεδο.</w:t>
      </w:r>
    </w:p>
    <w:p w14:paraId="31B60893" w14:textId="7FE4713F" w:rsidR="002C70FF" w:rsidRDefault="002C70FF" w:rsidP="00C1313E">
      <w:pPr>
        <w:pStyle w:val="a5"/>
        <w:numPr>
          <w:ilvl w:val="0"/>
          <w:numId w:val="34"/>
        </w:numPr>
        <w:spacing w:before="120" w:after="120"/>
        <w:jc w:val="both"/>
      </w:pPr>
      <w:r w:rsidRPr="00ED0CBE">
        <w:rPr>
          <w:b/>
          <w:bCs/>
        </w:rPr>
        <w:t>Δείκτης 2Μ</w:t>
      </w:r>
      <w:r>
        <w:t xml:space="preserve">, ο οποίος απεικονίζει τον αριθμό των νοικοκυριών στα οποία το ποσοστό των δαπανών για την αγορά ενεργειακών προϊόντων </w:t>
      </w:r>
      <w:r w:rsidR="00095573">
        <w:t xml:space="preserve">προς το </w:t>
      </w:r>
      <w:r>
        <w:t>εισόδημα τους είναι υψηλότερο από τη διπλάσια τιμή της διαμέσου του αντίστοιχου ποσοστού σε εθνικό επίπεδο.</w:t>
      </w:r>
    </w:p>
    <w:p w14:paraId="31B60894" w14:textId="77777777" w:rsidR="002C70FF" w:rsidRDefault="002C70FF" w:rsidP="00C1313E">
      <w:pPr>
        <w:pStyle w:val="a5"/>
        <w:numPr>
          <w:ilvl w:val="0"/>
          <w:numId w:val="34"/>
        </w:numPr>
        <w:spacing w:before="120" w:after="120"/>
        <w:jc w:val="both"/>
      </w:pPr>
      <w:r w:rsidRPr="00ED0CBE">
        <w:rPr>
          <w:b/>
          <w:bCs/>
        </w:rPr>
        <w:t xml:space="preserve">Δείκτης </w:t>
      </w:r>
      <w:r>
        <w:rPr>
          <w:b/>
          <w:bCs/>
        </w:rPr>
        <w:t>ΑΕΙΘ</w:t>
      </w:r>
      <w:r>
        <w:t xml:space="preserve">, ο οποίος απεικονίζει τον αριθμό των νοικοκυριών με </w:t>
      </w:r>
      <w:r w:rsidRPr="00365DA3">
        <w:rPr>
          <w:b/>
          <w:bCs/>
        </w:rPr>
        <w:t>Αδυναμία Εκπλήρωσης Ικανοποιητικής Θέρμανσης</w:t>
      </w:r>
      <w:r>
        <w:t xml:space="preserve"> της κατοικίας τους.</w:t>
      </w:r>
    </w:p>
    <w:p w14:paraId="31B60895" w14:textId="77777777" w:rsidR="002C70FF" w:rsidRDefault="002C70FF" w:rsidP="00C1313E">
      <w:pPr>
        <w:pStyle w:val="a5"/>
        <w:numPr>
          <w:ilvl w:val="0"/>
          <w:numId w:val="34"/>
        </w:numPr>
        <w:spacing w:before="120" w:after="120"/>
        <w:jc w:val="both"/>
      </w:pPr>
      <w:r w:rsidRPr="00ED0CBE">
        <w:rPr>
          <w:b/>
          <w:bCs/>
        </w:rPr>
        <w:t xml:space="preserve">Δείκτης </w:t>
      </w:r>
      <w:r>
        <w:rPr>
          <w:b/>
          <w:bCs/>
        </w:rPr>
        <w:t>ΑΑΠΛ</w:t>
      </w:r>
      <w:r>
        <w:t>, ο οποίος απεικονίζει τον</w:t>
      </w:r>
      <w:r w:rsidRPr="00654ACB">
        <w:t xml:space="preserve"> </w:t>
      </w:r>
      <w:r>
        <w:t xml:space="preserve">αριθμό των νοικοκυριών με </w:t>
      </w:r>
      <w:r w:rsidRPr="00365DA3">
        <w:rPr>
          <w:b/>
          <w:bCs/>
        </w:rPr>
        <w:t xml:space="preserve">Αδυναμία Άμεσης </w:t>
      </w:r>
      <w:r w:rsidRPr="004A7DE1">
        <w:t>(και έγκαιρης)</w:t>
      </w:r>
      <w:r w:rsidRPr="00365DA3">
        <w:rPr>
          <w:b/>
          <w:bCs/>
        </w:rPr>
        <w:t xml:space="preserve"> Αποπληρωμής των Λογαριασμών</w:t>
      </w:r>
      <w:r>
        <w:t xml:space="preserve"> ενέργειας.</w:t>
      </w:r>
    </w:p>
    <w:p w14:paraId="31B60896" w14:textId="77777777" w:rsidR="002C70FF" w:rsidRPr="009278FE" w:rsidRDefault="002C70FF" w:rsidP="009E3D34">
      <w:pPr>
        <w:spacing w:before="120" w:after="120"/>
        <w:jc w:val="both"/>
      </w:pPr>
      <w:r>
        <w:t xml:space="preserve">Οι δυο πρώτοι δείκτες υπολογίζονται βάσει των δεδομένων που συλλέγονται στο πλαίσιο της Έρευνας Οικογενειακού Προϋπολογισμού, ενώ οι δυο τελευταίοι εκτιμώνται στο πλαίσιο της Έρευνας </w:t>
      </w:r>
      <w:r w:rsidRPr="00654ACB">
        <w:t>Εισ</w:t>
      </w:r>
      <w:r>
        <w:t>οδήματος</w:t>
      </w:r>
      <w:r w:rsidRPr="00654ACB">
        <w:t xml:space="preserve"> και </w:t>
      </w:r>
      <w:r>
        <w:t>Συνθηκών</w:t>
      </w:r>
      <w:r w:rsidRPr="00654ACB">
        <w:t xml:space="preserve"> Διαβίωσης των Νοικοκυριών</w:t>
      </w:r>
      <w:r>
        <w:t xml:space="preserve">. Επισημαίνεται ότι και οι δυο έρευνες πραγματοποιούνται από την </w:t>
      </w:r>
      <w:r w:rsidRPr="00A1423E">
        <w:t>Ελληνική Στατιστική Αρχή</w:t>
      </w:r>
      <w:r>
        <w:t xml:space="preserve"> σε ετήσια βάση.</w:t>
      </w:r>
    </w:p>
    <w:p w14:paraId="31B60897" w14:textId="33CAD99F" w:rsidR="002C70FF" w:rsidRPr="009278FE" w:rsidRDefault="002C70FF" w:rsidP="009E3D34">
      <w:pPr>
        <w:spacing w:before="120" w:after="120"/>
        <w:jc w:val="both"/>
      </w:pPr>
      <w:r>
        <w:t xml:space="preserve">Η ανάλυση των τεσσάρων δεικτών </w:t>
      </w:r>
      <w:r w:rsidR="00244FDC">
        <w:t xml:space="preserve">(Διάγραμμα 1) </w:t>
      </w:r>
      <w:r>
        <w:t>αναδεικνύει την</w:t>
      </w:r>
      <w:r w:rsidRPr="00A1423E">
        <w:t xml:space="preserve"> επιδείνωση του </w:t>
      </w:r>
      <w:r>
        <w:t>φαινομένου της ενεργειακής ένδειας</w:t>
      </w:r>
      <w:r w:rsidRPr="00A1423E">
        <w:t xml:space="preserve"> από το </w:t>
      </w:r>
      <w:r>
        <w:t xml:space="preserve">έτος </w:t>
      </w:r>
      <w:r w:rsidRPr="00A1423E">
        <w:t>2011</w:t>
      </w:r>
      <w:r w:rsidR="00244FDC">
        <w:t xml:space="preserve"> και μετά, με την κορύφωση της οικονομικής κρίσης</w:t>
      </w:r>
      <w:r w:rsidR="00AE70E3">
        <w:t xml:space="preserve"> στη χώρα</w:t>
      </w:r>
      <w:r>
        <w:t xml:space="preserve">. </w:t>
      </w:r>
      <w:r w:rsidR="00AE70E3">
        <w:t>Τ</w:t>
      </w:r>
      <w:r w:rsidRPr="00A1423E">
        <w:t>ην περίοδο 2014-2016</w:t>
      </w:r>
      <w:r w:rsidR="00AE70E3">
        <w:t xml:space="preserve"> οι δείκτες εμφανίζουν σταθεροποιητικές τάσεις σε ιδιαίτερα υψηλά επίπεδα όμως, για να αποκλιμακωθούν</w:t>
      </w:r>
      <w:r>
        <w:t xml:space="preserve"> τα επόμενα έτη</w:t>
      </w:r>
      <w:r w:rsidR="00AE70E3">
        <w:t xml:space="preserve"> της δεκαετίας 2010-2020</w:t>
      </w:r>
      <w:r>
        <w:t>.</w:t>
      </w:r>
    </w:p>
    <w:p w14:paraId="31B60898" w14:textId="47BD1A18" w:rsidR="002C70FF" w:rsidRDefault="002C70FF" w:rsidP="009E3D34">
      <w:pPr>
        <w:spacing w:before="120" w:after="120"/>
        <w:jc w:val="both"/>
      </w:pPr>
      <w:r>
        <w:lastRenderedPageBreak/>
        <w:t>Ενδιαφέρον παρουσιάζει το γεγονός ότι οι διαφορές μεταξύ των τεσσάρων δεικτών είναι μεγάλες και</w:t>
      </w:r>
      <w:r w:rsidR="00095573">
        <w:t>,</w:t>
      </w:r>
      <w:r>
        <w:t xml:space="preserve"> σε κάποιες περιπτώσεις</w:t>
      </w:r>
      <w:r w:rsidR="00095573">
        <w:t>,</w:t>
      </w:r>
      <w:r>
        <w:t xml:space="preserve"> οδηγούν σε αντικρουόμενα συμπεράσματα αναφορικά με την εξέλιξη του φαινομένου, όπως ενδεικτικά συμβαίνει την περίοδο 2017-2018.</w:t>
      </w:r>
    </w:p>
    <w:p w14:paraId="31B60899" w14:textId="5A9EF910" w:rsidR="002C70FF" w:rsidRDefault="002C70FF" w:rsidP="009E3D34">
      <w:pPr>
        <w:spacing w:before="120" w:after="120"/>
        <w:jc w:val="both"/>
      </w:pPr>
      <w:r>
        <w:t xml:space="preserve">Σε κάθε περίπτωση είναι εμφανής η βελτίωση του φαινομένου της ενεργειακής ένδειας </w:t>
      </w:r>
      <w:r w:rsidR="00E16F0E">
        <w:t>τ</w:t>
      </w:r>
      <w:r w:rsidR="00D96C38">
        <w:t xml:space="preserve">α </w:t>
      </w:r>
      <w:r>
        <w:t>έτ</w:t>
      </w:r>
      <w:r w:rsidR="00D96C38">
        <w:t xml:space="preserve">η </w:t>
      </w:r>
      <w:r>
        <w:t xml:space="preserve">2018 </w:t>
      </w:r>
      <w:r w:rsidR="00D96C38">
        <w:t xml:space="preserve">και 2019 </w:t>
      </w:r>
      <w:r>
        <w:t>για το σύνολο των δεικτών με εξαίρεση τον δείκτη ΑΑΠΛ, ο οποίος παραμένει σχετικά αμετάβλητος τη συγκεκριμένη περίοδο.</w:t>
      </w:r>
    </w:p>
    <w:p w14:paraId="7A21C210" w14:textId="79D97A31" w:rsidR="00E16F0E" w:rsidRPr="00E16F0E" w:rsidRDefault="00E16F0E" w:rsidP="00E16F0E">
      <w:pPr>
        <w:spacing w:before="120" w:after="120"/>
        <w:jc w:val="both"/>
      </w:pPr>
      <w:r>
        <w:t xml:space="preserve">Η κατάσταση αντιστράφηκε το </w:t>
      </w:r>
      <w:r w:rsidR="00F85B54">
        <w:t>2020</w:t>
      </w:r>
      <w:r w:rsidR="00EF36BC">
        <w:t xml:space="preserve"> δεδομένου ότι οι </w:t>
      </w:r>
      <w:r w:rsidRPr="00E16F0E">
        <w:t xml:space="preserve">δείκτες Μ/2 και 2Μ χαρακτηρίστηκαν από σημαντική αύξηση συγκριτικά με το έτος 2019 (αύξηση από 8,8% και 11,3% το έτος 2019 σε 11,4% και 14,5% το έτος 2020 αντίστοιχα). Οι βασικότεροι παράγοντες που οδήγησαν στο συγκεκριμένο αποτέλεσμα είναι η μείωση </w:t>
      </w:r>
      <w:r w:rsidR="00AE70E3">
        <w:t>των εισοδημάτων</w:t>
      </w:r>
      <w:r w:rsidRPr="00E16F0E">
        <w:t xml:space="preserve"> λόγω των επιπτώσεων της πανδημίας </w:t>
      </w:r>
      <w:r w:rsidRPr="00E16F0E">
        <w:rPr>
          <w:lang w:val="en-US"/>
        </w:rPr>
        <w:t>COVID</w:t>
      </w:r>
      <w:r w:rsidRPr="00E16F0E">
        <w:t>-19 και των μέτρων περιορισμού της και οι υψηλότερες ανάγκες για θέρμανση χώρων</w:t>
      </w:r>
      <w:r w:rsidR="00A400B4">
        <w:t>, τόσο</w:t>
      </w:r>
      <w:r w:rsidRPr="00E16F0E">
        <w:t xml:space="preserve"> λόγω τόσο των υψηλότερων βαθμοημερών θέρμανσης, όσο και</w:t>
      </w:r>
      <w:r w:rsidR="00A400B4">
        <w:t xml:space="preserve"> λόγω</w:t>
      </w:r>
      <w:r w:rsidRPr="00E16F0E">
        <w:t xml:space="preserve"> της μεγαλύτερης περιόδου διαμονής στις κατοικίες.</w:t>
      </w:r>
    </w:p>
    <w:p w14:paraId="7DE70564" w14:textId="273190D4" w:rsidR="00D96C38" w:rsidRDefault="00E16F0E" w:rsidP="00E16F0E">
      <w:pPr>
        <w:spacing w:before="120" w:after="120"/>
        <w:jc w:val="both"/>
      </w:pPr>
      <w:r w:rsidRPr="00E16F0E">
        <w:t xml:space="preserve">Ωστόσο, οι δείκτες ΑΕΙΘ και ΑΑΠΛ καταδεικνύουν αποκλιμάκωση του φαινομένου την εξεταζόμενη χρονική περίοδο (μείωση από 17,9% και 32,6% το έτος 2019 σε 17,1% και 28,2% το έτος 2020 αντίστοιχα). </w:t>
      </w:r>
      <w:r w:rsidR="00B3584F" w:rsidRPr="00E16F0E">
        <w:t xml:space="preserve">Οι κυριότεροι παράγοντες για τη διαμόρφωση της συγκεκριμένης τάσης </w:t>
      </w:r>
      <w:r w:rsidR="00B3584F">
        <w:t xml:space="preserve">φαίνεται να σχετίζονται με </w:t>
      </w:r>
      <w:r w:rsidR="00B3584F" w:rsidRPr="00E16F0E">
        <w:t xml:space="preserve">το υψηλότερο διαθέσιμο εισόδημα για κατανάλωση λόγω του περιορισμού των μετακινήσεων και της μεγαλύτερης περιόδου διαμονής στις κατοικίες </w:t>
      </w:r>
      <w:r w:rsidR="00B3584F">
        <w:t xml:space="preserve">που, εκ των πραγμάτων, συνέβαλε στην </w:t>
      </w:r>
      <w:r w:rsidR="00A400B4">
        <w:t xml:space="preserve">ανάγκη </w:t>
      </w:r>
      <w:r w:rsidR="00B3584F">
        <w:t>επίτευξη</w:t>
      </w:r>
      <w:r w:rsidR="00A400B4">
        <w:t>ς</w:t>
      </w:r>
      <w:r w:rsidR="00B3584F">
        <w:t xml:space="preserve"> </w:t>
      </w:r>
      <w:r w:rsidR="00B3584F" w:rsidRPr="00E16F0E">
        <w:t xml:space="preserve">υψηλότερων επιπέδων θερμικής άνεσης για τα </w:t>
      </w:r>
      <w:r w:rsidR="00B3584F">
        <w:t>νοικοκυριά</w:t>
      </w:r>
      <w:r w:rsidR="00B3584F" w:rsidRPr="00E16F0E">
        <w:t>.</w:t>
      </w:r>
    </w:p>
    <w:p w14:paraId="21E2166D" w14:textId="35294BFB" w:rsidR="00D96C38" w:rsidRPr="00E16F0E" w:rsidRDefault="00A400B4" w:rsidP="00E16F0E">
      <w:pPr>
        <w:spacing w:before="120" w:after="120"/>
        <w:jc w:val="both"/>
      </w:pPr>
      <w:r>
        <w:t xml:space="preserve">Εντούτοις, </w:t>
      </w:r>
      <w:r w:rsidR="00D96C38">
        <w:t>η ενεργειακή κρίση και η αύξηση του πληθωρισμού οδήγησε σε αύξηση και των τεσσάρων δεικτών την περίοδο 202</w:t>
      </w:r>
      <w:r w:rsidR="00AB17CC">
        <w:t>0</w:t>
      </w:r>
      <w:r w:rsidR="00D96C38">
        <w:t>-2023</w:t>
      </w:r>
      <w:r w:rsidR="00AB17CC">
        <w:t>, η οποία κυμαίνεται μεταξύ 7%-17%</w:t>
      </w:r>
      <w:r w:rsidR="00235AD7">
        <w:t>,</w:t>
      </w:r>
      <w:r w:rsidR="00AB17CC">
        <w:t xml:space="preserve"> αναδεικνύοντας την αναγκαιότητα για εντατικοποίηση των μέτρων </w:t>
      </w:r>
      <w:r w:rsidR="00453F33">
        <w:t>και πολιτικών</w:t>
      </w:r>
      <w:r w:rsidR="00AB17CC">
        <w:t xml:space="preserve"> μετριασμού του φαινομένου της ενεργειακής ένδειας.</w:t>
      </w:r>
    </w:p>
    <w:p w14:paraId="31B6089B" w14:textId="31D8C750" w:rsidR="002C70FF" w:rsidRDefault="0062486B" w:rsidP="005A24F5">
      <w:pPr>
        <w:keepNext/>
        <w:spacing w:before="120" w:after="120" w:line="240" w:lineRule="auto"/>
        <w:jc w:val="center"/>
      </w:pPr>
      <w:r>
        <w:rPr>
          <w:noProof/>
        </w:rPr>
        <w:lastRenderedPageBreak/>
        <w:drawing>
          <wp:inline distT="0" distB="0" distL="0" distR="0" wp14:anchorId="4DD5B3DF" wp14:editId="464F9F07">
            <wp:extent cx="5486400" cy="3986492"/>
            <wp:effectExtent l="0" t="0" r="0" b="0"/>
            <wp:docPr id="1203265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986492"/>
                    </a:xfrm>
                    <a:prstGeom prst="rect">
                      <a:avLst/>
                    </a:prstGeom>
                    <a:noFill/>
                  </pic:spPr>
                </pic:pic>
              </a:graphicData>
            </a:graphic>
          </wp:inline>
        </w:drawing>
      </w:r>
    </w:p>
    <w:p w14:paraId="31B6089C" w14:textId="3C91BBEE" w:rsidR="002C70FF" w:rsidRPr="000D2015" w:rsidRDefault="002C70FF" w:rsidP="000D2015">
      <w:pPr>
        <w:pStyle w:val="a7"/>
        <w:spacing w:before="120" w:after="120"/>
        <w:jc w:val="center"/>
        <w:rPr>
          <w:i/>
          <w:iCs/>
          <w:color w:val="auto"/>
          <w:sz w:val="22"/>
          <w:szCs w:val="22"/>
        </w:rPr>
      </w:pPr>
      <w:r w:rsidRPr="000D2015">
        <w:rPr>
          <w:color w:val="auto"/>
          <w:sz w:val="22"/>
          <w:szCs w:val="22"/>
        </w:rPr>
        <w:t xml:space="preserve">Διάγραμμα </w:t>
      </w:r>
      <w:r w:rsidR="007D1663" w:rsidRPr="000D2015">
        <w:rPr>
          <w:color w:val="auto"/>
          <w:sz w:val="22"/>
          <w:szCs w:val="22"/>
        </w:rPr>
        <w:fldChar w:fldCharType="begin"/>
      </w:r>
      <w:r w:rsidRPr="000D2015">
        <w:rPr>
          <w:color w:val="auto"/>
          <w:sz w:val="22"/>
          <w:szCs w:val="22"/>
        </w:rPr>
        <w:instrText xml:space="preserve"> SEQ Figure \* ARABIC </w:instrText>
      </w:r>
      <w:r w:rsidR="007D1663" w:rsidRPr="000D2015">
        <w:rPr>
          <w:color w:val="auto"/>
          <w:sz w:val="22"/>
          <w:szCs w:val="22"/>
        </w:rPr>
        <w:fldChar w:fldCharType="separate"/>
      </w:r>
      <w:r w:rsidRPr="000D2015">
        <w:rPr>
          <w:noProof/>
          <w:color w:val="auto"/>
          <w:sz w:val="22"/>
          <w:szCs w:val="22"/>
        </w:rPr>
        <w:t>1</w:t>
      </w:r>
      <w:r w:rsidR="007D1663" w:rsidRPr="000D2015">
        <w:rPr>
          <w:color w:val="auto"/>
          <w:sz w:val="22"/>
          <w:szCs w:val="22"/>
        </w:rPr>
        <w:fldChar w:fldCharType="end"/>
      </w:r>
      <w:r w:rsidRPr="000D2015">
        <w:rPr>
          <w:color w:val="auto"/>
          <w:sz w:val="22"/>
          <w:szCs w:val="22"/>
        </w:rPr>
        <w:t xml:space="preserve">: </w:t>
      </w:r>
      <w:r w:rsidRPr="008D5DC3">
        <w:rPr>
          <w:color w:val="auto"/>
          <w:sz w:val="22"/>
          <w:szCs w:val="22"/>
        </w:rPr>
        <w:t>Εξέλιξη δεικτών παρακολούθησης του φαινομένου ενεργειακής ένδειας στο πλαίσιο του Ευρωπαϊκού Παρατηρητηρίου για την Ενεργειακή Φτώχεια</w:t>
      </w:r>
      <w:r>
        <w:rPr>
          <w:color w:val="auto"/>
          <w:sz w:val="22"/>
          <w:szCs w:val="22"/>
        </w:rPr>
        <w:t xml:space="preserve"> την περίοδο 2008-</w:t>
      </w:r>
      <w:r w:rsidR="00E16F0E">
        <w:rPr>
          <w:color w:val="auto"/>
          <w:sz w:val="22"/>
          <w:szCs w:val="22"/>
        </w:rPr>
        <w:t>202</w:t>
      </w:r>
      <w:r w:rsidR="00EC18E9">
        <w:rPr>
          <w:color w:val="auto"/>
          <w:sz w:val="22"/>
          <w:szCs w:val="22"/>
        </w:rPr>
        <w:t>3</w:t>
      </w:r>
      <w:r w:rsidRPr="008D5DC3">
        <w:rPr>
          <w:color w:val="auto"/>
          <w:sz w:val="22"/>
          <w:szCs w:val="22"/>
        </w:rPr>
        <w:t>.</w:t>
      </w:r>
    </w:p>
    <w:p w14:paraId="31B6089D" w14:textId="77777777" w:rsidR="002C70FF" w:rsidRPr="001C0756" w:rsidRDefault="002C70FF" w:rsidP="009E3D34">
      <w:pPr>
        <w:spacing w:before="120" w:after="120"/>
        <w:jc w:val="both"/>
      </w:pPr>
    </w:p>
    <w:p w14:paraId="31B608A5" w14:textId="77A381A1" w:rsidR="002C70FF" w:rsidRDefault="00223EAD" w:rsidP="000B0C08">
      <w:pPr>
        <w:jc w:val="both"/>
      </w:pPr>
      <w:r>
        <w:t xml:space="preserve">Η ένταση του φαινομένου της ενεργειακής ένδειας σχετίζεται άμεσα και επηρεάζεται κυρίως από τη θέρμανση χώρων, η οποία αποτελεί τη βασική ενεργειακή χρήση στον τομέα των κατοικιών. </w:t>
      </w:r>
      <w:r w:rsidR="002C70FF">
        <w:t>Πιο συγκεκριμένα, η ενέργεια που απαιτείται για τη θέρμανση χώρων είναι μεγαλύτερη από το 50% της συνολικής καταναλισκόμενης ενέργειας στα νοικοκυριά στην Ελλάδα.</w:t>
      </w:r>
    </w:p>
    <w:p w14:paraId="31B608AD" w14:textId="0E367F6A" w:rsidR="002C70FF" w:rsidRPr="00BB5246" w:rsidRDefault="002C70FF" w:rsidP="00DA2C45">
      <w:pPr>
        <w:jc w:val="both"/>
      </w:pPr>
      <w:r>
        <w:t xml:space="preserve">Αναφορικά με τη συνεισφορά των λοιπών ενεργειακών χρήσεων, η απαιτούμενη ενέργεια για την παροχή ΖΝΧ και η </w:t>
      </w:r>
      <w:r w:rsidR="00235AD7">
        <w:t xml:space="preserve">απαιτούμενη </w:t>
      </w:r>
      <w:r>
        <w:t xml:space="preserve">ηλεκτρική ενέργεια για φωτισμό και ηλεκτρικές συσκευές θεωρούνται ως οι σημαντικότερες μετά την αντίστοιχη κατανάλωση ενέργειας για τη θέρμανση χώρων (Διάγραμμα </w:t>
      </w:r>
      <w:r w:rsidR="00F027FB">
        <w:t>2</w:t>
      </w:r>
      <w:r>
        <w:t>).</w:t>
      </w:r>
      <w:r w:rsidR="003C5B1C">
        <w:t xml:space="preserve"> </w:t>
      </w:r>
      <w:r>
        <w:t>Τέλος, η απαιτούμενη ενέργεια για ψύξη και μαγείρεμα είναι σημαντικά χαμηλότερη</w:t>
      </w:r>
      <w:r w:rsidR="003C5B1C">
        <w:t>.</w:t>
      </w:r>
    </w:p>
    <w:p w14:paraId="47C5E465" w14:textId="77777777" w:rsidR="008C2B09" w:rsidRPr="00BB5246" w:rsidRDefault="008C2B09" w:rsidP="00DA2C45">
      <w:pPr>
        <w:jc w:val="both"/>
      </w:pPr>
    </w:p>
    <w:p w14:paraId="31B608AE" w14:textId="2E58A600" w:rsidR="002C70FF" w:rsidRPr="00C16B92" w:rsidRDefault="005F501F" w:rsidP="00C16B92">
      <w:pPr>
        <w:pStyle w:val="Web"/>
        <w:spacing w:before="120" w:beforeAutospacing="0" w:after="120" w:afterAutospacing="0" w:line="276" w:lineRule="auto"/>
        <w:jc w:val="center"/>
        <w:rPr>
          <w:rFonts w:ascii="Calibri" w:hAnsi="Calibri" w:cs="Calibri"/>
          <w:sz w:val="22"/>
          <w:szCs w:val="22"/>
        </w:rPr>
      </w:pPr>
      <w:r>
        <w:rPr>
          <w:rFonts w:ascii="Calibri" w:hAnsi="Calibri" w:cs="Calibri"/>
          <w:noProof/>
          <w:sz w:val="22"/>
          <w:szCs w:val="22"/>
        </w:rPr>
        <w:lastRenderedPageBreak/>
        <w:drawing>
          <wp:inline distT="0" distB="0" distL="0" distR="0" wp14:anchorId="1DE6D872" wp14:editId="6FBBB74C">
            <wp:extent cx="5486400" cy="3981779"/>
            <wp:effectExtent l="0" t="0" r="0" b="0"/>
            <wp:docPr id="21450201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981779"/>
                    </a:xfrm>
                    <a:prstGeom prst="rect">
                      <a:avLst/>
                    </a:prstGeom>
                    <a:noFill/>
                  </pic:spPr>
                </pic:pic>
              </a:graphicData>
            </a:graphic>
          </wp:inline>
        </w:drawing>
      </w:r>
    </w:p>
    <w:p w14:paraId="31B608AF" w14:textId="4686BB24" w:rsidR="002C70FF" w:rsidRPr="009B3102" w:rsidRDefault="002C70FF" w:rsidP="000B0C08">
      <w:pPr>
        <w:pStyle w:val="Web"/>
        <w:spacing w:before="120" w:beforeAutospacing="0" w:after="120" w:afterAutospacing="0" w:line="276" w:lineRule="auto"/>
        <w:jc w:val="center"/>
        <w:rPr>
          <w:rFonts w:ascii="Calibri" w:hAnsi="Calibri" w:cs="Calibri"/>
          <w:b/>
          <w:bCs/>
          <w:sz w:val="22"/>
          <w:szCs w:val="22"/>
          <w:lang w:eastAsia="en-US"/>
        </w:rPr>
      </w:pPr>
      <w:r w:rsidRPr="003642BD">
        <w:rPr>
          <w:rFonts w:ascii="Calibri" w:hAnsi="Calibri" w:cs="Calibri"/>
          <w:b/>
          <w:bCs/>
          <w:sz w:val="22"/>
          <w:szCs w:val="22"/>
          <w:lang w:eastAsia="en-US"/>
        </w:rPr>
        <w:t>Διάγραμ</w:t>
      </w:r>
      <w:r w:rsidRPr="00E23EAC">
        <w:rPr>
          <w:rFonts w:ascii="Calibri" w:hAnsi="Calibri" w:cs="Calibri"/>
          <w:b/>
          <w:bCs/>
          <w:sz w:val="22"/>
          <w:szCs w:val="22"/>
          <w:lang w:eastAsia="en-US"/>
        </w:rPr>
        <w:t xml:space="preserve">μα </w:t>
      </w:r>
      <w:r w:rsidR="007D1663" w:rsidRPr="00026C3C">
        <w:rPr>
          <w:rFonts w:ascii="Calibri" w:hAnsi="Calibri" w:cs="Calibri"/>
          <w:b/>
          <w:bCs/>
          <w:sz w:val="22"/>
          <w:szCs w:val="22"/>
          <w:lang w:eastAsia="en-US"/>
        </w:rPr>
        <w:fldChar w:fldCharType="begin"/>
      </w:r>
      <w:r w:rsidRPr="00026C3C">
        <w:rPr>
          <w:rFonts w:ascii="Calibri" w:hAnsi="Calibri" w:cs="Calibri"/>
          <w:b/>
          <w:bCs/>
          <w:sz w:val="22"/>
          <w:szCs w:val="22"/>
          <w:lang w:eastAsia="en-US"/>
        </w:rPr>
        <w:instrText xml:space="preserve"> SEQ Figure \* ARABIC </w:instrText>
      </w:r>
      <w:r w:rsidR="007D1663" w:rsidRPr="00026C3C">
        <w:rPr>
          <w:rFonts w:ascii="Calibri" w:hAnsi="Calibri" w:cs="Calibri"/>
          <w:b/>
          <w:bCs/>
          <w:sz w:val="22"/>
          <w:szCs w:val="22"/>
          <w:lang w:eastAsia="en-US"/>
        </w:rPr>
        <w:fldChar w:fldCharType="separate"/>
      </w:r>
      <w:r w:rsidR="00F027FB">
        <w:rPr>
          <w:rFonts w:ascii="Calibri" w:hAnsi="Calibri" w:cs="Calibri"/>
          <w:b/>
          <w:bCs/>
          <w:noProof/>
          <w:sz w:val="22"/>
          <w:szCs w:val="22"/>
          <w:lang w:eastAsia="en-US"/>
        </w:rPr>
        <w:t>2</w:t>
      </w:r>
      <w:r w:rsidR="007D1663" w:rsidRPr="00026C3C">
        <w:rPr>
          <w:rFonts w:ascii="Calibri" w:hAnsi="Calibri" w:cs="Calibri"/>
          <w:b/>
          <w:bCs/>
          <w:sz w:val="22"/>
          <w:szCs w:val="22"/>
          <w:lang w:eastAsia="en-US"/>
        </w:rPr>
        <w:fldChar w:fldCharType="end"/>
      </w:r>
      <w:r w:rsidRPr="003642BD">
        <w:rPr>
          <w:rFonts w:ascii="Calibri" w:hAnsi="Calibri" w:cs="Calibri"/>
          <w:b/>
          <w:bCs/>
          <w:sz w:val="22"/>
          <w:szCs w:val="22"/>
          <w:lang w:eastAsia="en-US"/>
        </w:rPr>
        <w:t>:</w:t>
      </w:r>
      <w:r w:rsidRPr="00E23EAC">
        <w:rPr>
          <w:rFonts w:ascii="Calibri" w:hAnsi="Calibri" w:cs="Calibri"/>
          <w:b/>
          <w:bCs/>
          <w:sz w:val="22"/>
          <w:szCs w:val="22"/>
          <w:lang w:eastAsia="en-US"/>
        </w:rPr>
        <w:t xml:space="preserve"> Συνεισφορά </w:t>
      </w:r>
      <w:r w:rsidRPr="00E53E91">
        <w:rPr>
          <w:rFonts w:ascii="Calibri" w:hAnsi="Calibri" w:cs="Calibri"/>
          <w:b/>
          <w:bCs/>
          <w:sz w:val="22"/>
          <w:szCs w:val="22"/>
          <w:lang w:eastAsia="en-US"/>
        </w:rPr>
        <w:t>της καταναλισκόμενης ενέργειας για τις διάφορες ενεργειακές χρήσεις των νοικοκυριών</w:t>
      </w:r>
      <w:r w:rsidRPr="00026C3C">
        <w:rPr>
          <w:rFonts w:ascii="Calibri" w:hAnsi="Calibri" w:cs="Calibri"/>
          <w:b/>
          <w:bCs/>
          <w:sz w:val="22"/>
          <w:szCs w:val="22"/>
          <w:lang w:eastAsia="en-US"/>
        </w:rPr>
        <w:t xml:space="preserve"> στο </w:t>
      </w:r>
      <w:r w:rsidRPr="004E14E9">
        <w:rPr>
          <w:rFonts w:ascii="Calibri" w:hAnsi="Calibri" w:cs="Calibri"/>
          <w:b/>
          <w:bCs/>
          <w:sz w:val="22"/>
          <w:szCs w:val="22"/>
          <w:lang w:eastAsia="en-US"/>
        </w:rPr>
        <w:t>σύνολο της τελικής κατανάλωσης ενέργειας την περίοδο 2015-</w:t>
      </w:r>
      <w:r w:rsidR="004E14E9" w:rsidRPr="004E14E9">
        <w:rPr>
          <w:rFonts w:ascii="Calibri" w:hAnsi="Calibri" w:cs="Calibri"/>
          <w:b/>
          <w:bCs/>
          <w:sz w:val="22"/>
          <w:szCs w:val="22"/>
          <w:lang w:eastAsia="en-US"/>
        </w:rPr>
        <w:t>20</w:t>
      </w:r>
      <w:r w:rsidR="00C16B92">
        <w:rPr>
          <w:rFonts w:ascii="Calibri" w:hAnsi="Calibri" w:cs="Calibri"/>
          <w:b/>
          <w:bCs/>
          <w:sz w:val="22"/>
          <w:szCs w:val="22"/>
          <w:lang w:eastAsia="en-US"/>
        </w:rPr>
        <w:t>22</w:t>
      </w:r>
      <w:r w:rsidR="004E14E9" w:rsidRPr="00026C3C">
        <w:rPr>
          <w:rFonts w:ascii="Calibri" w:hAnsi="Calibri" w:cs="Calibri"/>
          <w:b/>
          <w:bCs/>
          <w:sz w:val="22"/>
          <w:szCs w:val="22"/>
          <w:lang w:eastAsia="en-US"/>
        </w:rPr>
        <w:t xml:space="preserve"> </w:t>
      </w:r>
      <w:r w:rsidRPr="00026C3C">
        <w:rPr>
          <w:rFonts w:ascii="Calibri" w:hAnsi="Calibri" w:cs="Calibri"/>
          <w:b/>
          <w:bCs/>
          <w:sz w:val="22"/>
          <w:szCs w:val="22"/>
          <w:lang w:eastAsia="en-US"/>
        </w:rPr>
        <w:t xml:space="preserve">(Πηγή: </w:t>
      </w:r>
      <w:r w:rsidRPr="00026C3C">
        <w:rPr>
          <w:rFonts w:ascii="Calibri" w:hAnsi="Calibri" w:cs="Calibri"/>
          <w:b/>
          <w:bCs/>
          <w:sz w:val="22"/>
          <w:szCs w:val="22"/>
          <w:lang w:val="en-US" w:eastAsia="en-US"/>
        </w:rPr>
        <w:t>EUROSTAT</w:t>
      </w:r>
      <w:r w:rsidRPr="00026C3C">
        <w:rPr>
          <w:rFonts w:ascii="Calibri" w:hAnsi="Calibri" w:cs="Calibri"/>
          <w:b/>
          <w:bCs/>
          <w:sz w:val="22"/>
          <w:szCs w:val="22"/>
          <w:lang w:eastAsia="en-US"/>
        </w:rPr>
        <w:t>).</w:t>
      </w:r>
    </w:p>
    <w:p w14:paraId="31B608B0" w14:textId="4341F73F" w:rsidR="002C70FF" w:rsidRPr="00BB5246" w:rsidRDefault="002C70FF" w:rsidP="004166BD">
      <w:pPr>
        <w:pStyle w:val="Web"/>
        <w:spacing w:before="120" w:beforeAutospacing="0" w:after="120" w:afterAutospacing="0" w:line="276" w:lineRule="auto"/>
        <w:rPr>
          <w:rFonts w:ascii="Calibri" w:hAnsi="Calibri" w:cs="Calibri"/>
          <w:sz w:val="22"/>
          <w:szCs w:val="22"/>
          <w:lang w:eastAsia="en-US"/>
        </w:rPr>
      </w:pPr>
    </w:p>
    <w:p w14:paraId="31B608B1" w14:textId="77777777" w:rsidR="002C70FF" w:rsidRPr="00A1423E" w:rsidRDefault="002C70FF" w:rsidP="009E3D34">
      <w:pPr>
        <w:pStyle w:val="2"/>
        <w:numPr>
          <w:ilvl w:val="1"/>
          <w:numId w:val="1"/>
        </w:numPr>
        <w:spacing w:before="120" w:after="120"/>
        <w:rPr>
          <w:rFonts w:ascii="Calibri" w:hAnsi="Calibri" w:cs="Calibri"/>
          <w:color w:val="002060"/>
        </w:rPr>
      </w:pPr>
      <w:bookmarkStart w:id="5" w:name="_Toc214271393"/>
      <w:r>
        <w:rPr>
          <w:rFonts w:ascii="Calibri" w:hAnsi="Calibri" w:cs="Calibri"/>
          <w:color w:val="002060"/>
        </w:rPr>
        <w:t>Προκλήσεις</w:t>
      </w:r>
      <w:bookmarkEnd w:id="5"/>
    </w:p>
    <w:p w14:paraId="7A3C7B32" w14:textId="56C3FE4A" w:rsidR="0090708D" w:rsidRDefault="002C70FF" w:rsidP="005616AF">
      <w:pPr>
        <w:pStyle w:val="Web"/>
        <w:spacing w:before="120" w:beforeAutospacing="0" w:after="120" w:afterAutospacing="0" w:line="276" w:lineRule="auto"/>
        <w:jc w:val="both"/>
        <w:rPr>
          <w:rFonts w:ascii="Calibri" w:hAnsi="Calibri" w:cs="Calibri"/>
          <w:sz w:val="22"/>
          <w:szCs w:val="22"/>
          <w:lang w:eastAsia="en-US"/>
        </w:rPr>
      </w:pPr>
      <w:r w:rsidRPr="005616AF">
        <w:rPr>
          <w:rFonts w:ascii="Calibri" w:hAnsi="Calibri" w:cs="Calibri"/>
          <w:sz w:val="22"/>
          <w:szCs w:val="22"/>
          <w:lang w:eastAsia="en-US"/>
        </w:rPr>
        <w:t xml:space="preserve">Η βασικότερη πρόκληση </w:t>
      </w:r>
      <w:r>
        <w:rPr>
          <w:rFonts w:ascii="Calibri" w:hAnsi="Calibri" w:cs="Calibri"/>
          <w:sz w:val="22"/>
          <w:szCs w:val="22"/>
          <w:lang w:eastAsia="en-US"/>
        </w:rPr>
        <w:t xml:space="preserve">για την αντιμετώπιση της ενεργειακής ένδειας </w:t>
      </w:r>
      <w:r w:rsidRPr="005616AF">
        <w:rPr>
          <w:rFonts w:ascii="Calibri" w:hAnsi="Calibri" w:cs="Calibri"/>
          <w:sz w:val="22"/>
          <w:szCs w:val="22"/>
          <w:lang w:eastAsia="en-US"/>
        </w:rPr>
        <w:t>είναι</w:t>
      </w:r>
      <w:r w:rsidR="00223EAD">
        <w:rPr>
          <w:rFonts w:ascii="Calibri" w:hAnsi="Calibri" w:cs="Calibri"/>
          <w:sz w:val="22"/>
          <w:szCs w:val="22"/>
          <w:lang w:eastAsia="en-US"/>
        </w:rPr>
        <w:t xml:space="preserve">, </w:t>
      </w:r>
      <w:r w:rsidR="00E64263">
        <w:rPr>
          <w:rFonts w:ascii="Calibri" w:hAnsi="Calibri" w:cs="Calibri"/>
          <w:sz w:val="22"/>
          <w:szCs w:val="22"/>
          <w:lang w:eastAsia="en-US"/>
        </w:rPr>
        <w:t>αρχικά</w:t>
      </w:r>
      <w:r w:rsidR="00223EAD">
        <w:rPr>
          <w:rFonts w:ascii="Calibri" w:hAnsi="Calibri" w:cs="Calibri"/>
          <w:sz w:val="22"/>
          <w:szCs w:val="22"/>
          <w:lang w:eastAsia="en-US"/>
        </w:rPr>
        <w:t>,</w:t>
      </w:r>
      <w:r w:rsidRPr="005616AF">
        <w:rPr>
          <w:rFonts w:ascii="Calibri" w:hAnsi="Calibri" w:cs="Calibri"/>
          <w:sz w:val="22"/>
          <w:szCs w:val="22"/>
          <w:lang w:eastAsia="en-US"/>
        </w:rPr>
        <w:t xml:space="preserve"> ο ορισμός </w:t>
      </w:r>
      <w:r w:rsidR="00E64263">
        <w:rPr>
          <w:rFonts w:ascii="Calibri" w:hAnsi="Calibri" w:cs="Calibri"/>
          <w:sz w:val="22"/>
          <w:szCs w:val="22"/>
          <w:lang w:eastAsia="en-US"/>
        </w:rPr>
        <w:t xml:space="preserve">των ενεργειακά πληττόμενων </w:t>
      </w:r>
      <w:r w:rsidR="0077776C">
        <w:rPr>
          <w:rFonts w:ascii="Calibri" w:hAnsi="Calibri" w:cs="Calibri"/>
          <w:sz w:val="22"/>
          <w:szCs w:val="22"/>
          <w:lang w:eastAsia="en-US"/>
        </w:rPr>
        <w:t xml:space="preserve">νοικοκυριών </w:t>
      </w:r>
      <w:r w:rsidRPr="005616AF">
        <w:rPr>
          <w:rFonts w:ascii="Calibri" w:hAnsi="Calibri" w:cs="Calibri"/>
          <w:sz w:val="22"/>
          <w:szCs w:val="22"/>
          <w:lang w:eastAsia="en-US"/>
        </w:rPr>
        <w:t>και</w:t>
      </w:r>
      <w:r w:rsidR="00235AD7">
        <w:rPr>
          <w:rFonts w:ascii="Calibri" w:hAnsi="Calibri" w:cs="Calibri"/>
          <w:sz w:val="22"/>
          <w:szCs w:val="22"/>
          <w:lang w:eastAsia="en-US"/>
        </w:rPr>
        <w:t>,</w:t>
      </w:r>
      <w:r w:rsidRPr="005616AF">
        <w:rPr>
          <w:rFonts w:ascii="Calibri" w:hAnsi="Calibri" w:cs="Calibri"/>
          <w:sz w:val="22"/>
          <w:szCs w:val="22"/>
          <w:lang w:eastAsia="en-US"/>
        </w:rPr>
        <w:t xml:space="preserve"> </w:t>
      </w:r>
      <w:r w:rsidR="001D68B8">
        <w:rPr>
          <w:rFonts w:ascii="Calibri" w:hAnsi="Calibri" w:cs="Calibri"/>
          <w:sz w:val="22"/>
          <w:szCs w:val="22"/>
          <w:lang w:eastAsia="en-US"/>
        </w:rPr>
        <w:t>σε δεύτερο στάδιο</w:t>
      </w:r>
      <w:r w:rsidR="00235AD7">
        <w:rPr>
          <w:rFonts w:ascii="Calibri" w:hAnsi="Calibri" w:cs="Calibri"/>
          <w:sz w:val="22"/>
          <w:szCs w:val="22"/>
          <w:lang w:eastAsia="en-US"/>
        </w:rPr>
        <w:t>,</w:t>
      </w:r>
      <w:r w:rsidR="001D68B8">
        <w:rPr>
          <w:rFonts w:ascii="Calibri" w:hAnsi="Calibri" w:cs="Calibri"/>
          <w:sz w:val="22"/>
          <w:szCs w:val="22"/>
          <w:lang w:eastAsia="en-US"/>
        </w:rPr>
        <w:t xml:space="preserve"> </w:t>
      </w:r>
      <w:r w:rsidRPr="005616AF">
        <w:rPr>
          <w:rFonts w:ascii="Calibri" w:hAnsi="Calibri" w:cs="Calibri"/>
          <w:sz w:val="22"/>
          <w:szCs w:val="22"/>
          <w:lang w:eastAsia="en-US"/>
        </w:rPr>
        <w:t xml:space="preserve">ο εντοπισμός </w:t>
      </w:r>
      <w:r w:rsidR="00E64263">
        <w:rPr>
          <w:rFonts w:ascii="Calibri" w:hAnsi="Calibri" w:cs="Calibri"/>
          <w:sz w:val="22"/>
          <w:szCs w:val="22"/>
          <w:lang w:eastAsia="en-US"/>
        </w:rPr>
        <w:t xml:space="preserve">αυτών </w:t>
      </w:r>
      <w:r w:rsidR="001D68B8" w:rsidRPr="001D68B8">
        <w:rPr>
          <w:rFonts w:ascii="Calibri" w:hAnsi="Calibri" w:cs="Calibri"/>
          <w:sz w:val="22"/>
          <w:szCs w:val="22"/>
          <w:lang w:eastAsia="en-US"/>
        </w:rPr>
        <w:t>των νοικοκυριών</w:t>
      </w:r>
      <w:r w:rsidR="00223EAD">
        <w:rPr>
          <w:rFonts w:ascii="Calibri" w:hAnsi="Calibri" w:cs="Calibri"/>
          <w:sz w:val="22"/>
          <w:szCs w:val="22"/>
          <w:lang w:eastAsia="en-US"/>
        </w:rPr>
        <w:t>,</w:t>
      </w:r>
      <w:r w:rsidR="000D620D">
        <w:rPr>
          <w:rFonts w:ascii="Calibri" w:hAnsi="Calibri" w:cs="Calibri"/>
          <w:sz w:val="22"/>
          <w:szCs w:val="22"/>
          <w:lang w:eastAsia="en-US"/>
        </w:rPr>
        <w:t xml:space="preserve"> δεδομένης της δυναμικής φύσης των παραμέτρων που το προσδιορίζουν</w:t>
      </w:r>
      <w:r w:rsidRPr="005616AF">
        <w:rPr>
          <w:rFonts w:ascii="Calibri" w:hAnsi="Calibri" w:cs="Calibri"/>
          <w:sz w:val="22"/>
          <w:szCs w:val="22"/>
          <w:lang w:eastAsia="en-US"/>
        </w:rPr>
        <w:t>.</w:t>
      </w:r>
      <w:r>
        <w:rPr>
          <w:rFonts w:ascii="Calibri" w:hAnsi="Calibri" w:cs="Calibri"/>
          <w:sz w:val="22"/>
          <w:szCs w:val="22"/>
          <w:lang w:eastAsia="en-US"/>
        </w:rPr>
        <w:t xml:space="preserve"> </w:t>
      </w:r>
      <w:r w:rsidR="0077776C">
        <w:rPr>
          <w:rFonts w:ascii="Calibri" w:hAnsi="Calibri" w:cs="Calibri"/>
          <w:sz w:val="22"/>
          <w:szCs w:val="22"/>
          <w:lang w:eastAsia="en-US"/>
        </w:rPr>
        <w:t>Πληθώρα</w:t>
      </w:r>
      <w:r>
        <w:rPr>
          <w:rFonts w:ascii="Calibri" w:hAnsi="Calibri" w:cs="Calibri"/>
          <w:sz w:val="22"/>
          <w:szCs w:val="22"/>
          <w:lang w:eastAsia="en-US"/>
        </w:rPr>
        <w:t xml:space="preserve"> μελετών </w:t>
      </w:r>
      <w:r w:rsidR="008447A5">
        <w:rPr>
          <w:rFonts w:ascii="Calibri" w:hAnsi="Calibri" w:cs="Calibri"/>
          <w:sz w:val="22"/>
          <w:szCs w:val="22"/>
          <w:lang w:eastAsia="en-US"/>
        </w:rPr>
        <w:t xml:space="preserve">για </w:t>
      </w:r>
      <w:r>
        <w:rPr>
          <w:rFonts w:ascii="Calibri" w:hAnsi="Calibri" w:cs="Calibri"/>
          <w:sz w:val="22"/>
          <w:szCs w:val="22"/>
          <w:lang w:eastAsia="en-US"/>
        </w:rPr>
        <w:t xml:space="preserve"> τη χαρτογράφηση και ανάλυση των χαρακτηριστικών των </w:t>
      </w:r>
      <w:r w:rsidRPr="00BB77B3">
        <w:rPr>
          <w:rFonts w:ascii="Calibri" w:hAnsi="Calibri" w:cs="Calibri"/>
          <w:sz w:val="22"/>
          <w:szCs w:val="22"/>
          <w:lang w:eastAsia="en-US"/>
        </w:rPr>
        <w:t xml:space="preserve">πληττόμενων </w:t>
      </w:r>
      <w:r>
        <w:rPr>
          <w:rFonts w:ascii="Calibri" w:hAnsi="Calibri" w:cs="Calibri"/>
          <w:sz w:val="22"/>
          <w:szCs w:val="22"/>
          <w:lang w:eastAsia="en-US"/>
        </w:rPr>
        <w:t xml:space="preserve">νοικοκυριών έχουν προσεγγίσει το θέμα της ενεργειακής ένδειας από </w:t>
      </w:r>
      <w:r w:rsidR="00AE70E3">
        <w:rPr>
          <w:rFonts w:ascii="Calibri" w:hAnsi="Calibri" w:cs="Calibri"/>
          <w:sz w:val="22"/>
          <w:szCs w:val="22"/>
          <w:lang w:eastAsia="en-US"/>
        </w:rPr>
        <w:t xml:space="preserve">διαφορετικές οπτικές γωνίες </w:t>
      </w:r>
      <w:r>
        <w:rPr>
          <w:rFonts w:ascii="Calibri" w:hAnsi="Calibri" w:cs="Calibri"/>
          <w:sz w:val="22"/>
          <w:szCs w:val="22"/>
          <w:lang w:eastAsia="en-US"/>
        </w:rPr>
        <w:t xml:space="preserve"> χρησιμοποιώντας διαφορετικές παραδοχές και πηγές δεδομένων.</w:t>
      </w:r>
      <w:r w:rsidR="00C42217">
        <w:rPr>
          <w:rFonts w:ascii="Calibri" w:hAnsi="Calibri" w:cs="Calibri"/>
          <w:sz w:val="22"/>
          <w:szCs w:val="22"/>
          <w:lang w:eastAsia="en-US"/>
        </w:rPr>
        <w:t xml:space="preserve"> </w:t>
      </w:r>
      <w:r w:rsidR="000D5C7F">
        <w:rPr>
          <w:rFonts w:ascii="Calibri" w:hAnsi="Calibri" w:cs="Calibri"/>
          <w:sz w:val="22"/>
          <w:szCs w:val="22"/>
          <w:lang w:eastAsia="en-US"/>
        </w:rPr>
        <w:t>Υπό το πρίσμα</w:t>
      </w:r>
      <w:r>
        <w:rPr>
          <w:rFonts w:ascii="Calibri" w:hAnsi="Calibri" w:cs="Calibri"/>
          <w:sz w:val="22"/>
          <w:szCs w:val="22"/>
          <w:lang w:eastAsia="en-US"/>
        </w:rPr>
        <w:t xml:space="preserve"> </w:t>
      </w:r>
      <w:r w:rsidR="000D5C7F">
        <w:rPr>
          <w:rFonts w:ascii="Calibri" w:hAnsi="Calibri" w:cs="Calibri"/>
          <w:sz w:val="22"/>
          <w:szCs w:val="22"/>
          <w:lang w:eastAsia="en-US"/>
        </w:rPr>
        <w:t xml:space="preserve">αυτό, </w:t>
      </w:r>
      <w:r>
        <w:rPr>
          <w:rFonts w:ascii="Calibri" w:hAnsi="Calibri" w:cs="Calibri"/>
          <w:sz w:val="22"/>
          <w:szCs w:val="22"/>
          <w:lang w:eastAsia="en-US"/>
        </w:rPr>
        <w:t>απαιτείται η ανάλυση των βασικών συμπερασμάτων</w:t>
      </w:r>
      <w:r w:rsidR="000D5C7F">
        <w:rPr>
          <w:rFonts w:ascii="Calibri" w:hAnsi="Calibri" w:cs="Calibri"/>
          <w:sz w:val="22"/>
          <w:szCs w:val="22"/>
          <w:lang w:eastAsia="en-US"/>
        </w:rPr>
        <w:t xml:space="preserve"> των ερευνών αυτών</w:t>
      </w:r>
      <w:r>
        <w:rPr>
          <w:rFonts w:ascii="Calibri" w:hAnsi="Calibri" w:cs="Calibri"/>
          <w:sz w:val="22"/>
          <w:szCs w:val="22"/>
          <w:lang w:eastAsia="en-US"/>
        </w:rPr>
        <w:t xml:space="preserve"> και η </w:t>
      </w:r>
      <w:r w:rsidR="000D5C7F">
        <w:rPr>
          <w:rFonts w:ascii="Calibri" w:hAnsi="Calibri" w:cs="Calibri"/>
          <w:sz w:val="22"/>
          <w:szCs w:val="22"/>
          <w:lang w:eastAsia="en-US"/>
        </w:rPr>
        <w:t>αξιολόγηση της αποτελεσματικότητας</w:t>
      </w:r>
      <w:r>
        <w:rPr>
          <w:rFonts w:ascii="Calibri" w:hAnsi="Calibri" w:cs="Calibri"/>
          <w:sz w:val="22"/>
          <w:szCs w:val="22"/>
          <w:lang w:eastAsia="en-US"/>
        </w:rPr>
        <w:t xml:space="preserve"> των στοχευμένων μέτρων </w:t>
      </w:r>
      <w:r w:rsidR="00453F33">
        <w:rPr>
          <w:rFonts w:ascii="Calibri" w:hAnsi="Calibri" w:cs="Calibri"/>
          <w:sz w:val="22"/>
          <w:szCs w:val="22"/>
          <w:lang w:eastAsia="en-US"/>
        </w:rPr>
        <w:t>και πολιτικών</w:t>
      </w:r>
      <w:r>
        <w:rPr>
          <w:rFonts w:ascii="Calibri" w:hAnsi="Calibri" w:cs="Calibri"/>
          <w:sz w:val="22"/>
          <w:szCs w:val="22"/>
          <w:lang w:eastAsia="en-US"/>
        </w:rPr>
        <w:t xml:space="preserve"> που </w:t>
      </w:r>
      <w:r w:rsidR="008D4DF0">
        <w:rPr>
          <w:rFonts w:ascii="Calibri" w:hAnsi="Calibri" w:cs="Calibri"/>
          <w:sz w:val="22"/>
          <w:szCs w:val="22"/>
          <w:lang w:eastAsia="en-US"/>
        </w:rPr>
        <w:t>εφαρμόζονται</w:t>
      </w:r>
      <w:r w:rsidR="00362FC8">
        <w:rPr>
          <w:rFonts w:ascii="Calibri" w:hAnsi="Calibri" w:cs="Calibri"/>
          <w:sz w:val="22"/>
          <w:szCs w:val="22"/>
          <w:lang w:eastAsia="en-US"/>
        </w:rPr>
        <w:t xml:space="preserve"> ή πρόκειται να</w:t>
      </w:r>
      <w:r>
        <w:rPr>
          <w:rFonts w:ascii="Calibri" w:hAnsi="Calibri" w:cs="Calibri"/>
          <w:sz w:val="22"/>
          <w:szCs w:val="22"/>
          <w:lang w:eastAsia="en-US"/>
        </w:rPr>
        <w:t xml:space="preserve"> εφαρμοστούν.</w:t>
      </w:r>
    </w:p>
    <w:p w14:paraId="16524273" w14:textId="011190C6" w:rsidR="0090708D" w:rsidRDefault="002C70FF" w:rsidP="005616AF">
      <w:pPr>
        <w:pStyle w:val="Web"/>
        <w:spacing w:before="120" w:beforeAutospacing="0" w:after="120" w:afterAutospacing="0" w:line="276" w:lineRule="auto"/>
        <w:jc w:val="both"/>
        <w:rPr>
          <w:rFonts w:ascii="Calibri" w:hAnsi="Calibri" w:cs="Calibri"/>
          <w:sz w:val="22"/>
          <w:szCs w:val="22"/>
          <w:lang w:eastAsia="en-US"/>
        </w:rPr>
      </w:pPr>
      <w:r>
        <w:rPr>
          <w:rFonts w:ascii="Calibri" w:hAnsi="Calibri" w:cs="Calibri"/>
          <w:sz w:val="22"/>
          <w:szCs w:val="22"/>
          <w:lang w:eastAsia="en-US"/>
        </w:rPr>
        <w:t xml:space="preserve">Έμφαση </w:t>
      </w:r>
      <w:r w:rsidR="0053651E">
        <w:rPr>
          <w:rFonts w:ascii="Calibri" w:hAnsi="Calibri" w:cs="Calibri"/>
          <w:sz w:val="22"/>
          <w:szCs w:val="22"/>
          <w:lang w:eastAsia="en-US"/>
        </w:rPr>
        <w:t>θα δοθεί</w:t>
      </w:r>
      <w:r>
        <w:rPr>
          <w:rFonts w:ascii="Calibri" w:hAnsi="Calibri" w:cs="Calibri"/>
          <w:sz w:val="22"/>
          <w:szCs w:val="22"/>
          <w:lang w:eastAsia="en-US"/>
        </w:rPr>
        <w:t xml:space="preserve"> στην αποτίμηση των επιπτώσεων της </w:t>
      </w:r>
      <w:r w:rsidR="00846319">
        <w:rPr>
          <w:rFonts w:ascii="Calibri" w:hAnsi="Calibri" w:cs="Calibri"/>
          <w:sz w:val="22"/>
          <w:szCs w:val="22"/>
          <w:lang w:eastAsia="en-US"/>
        </w:rPr>
        <w:t>ενεργειακής κρίσης</w:t>
      </w:r>
      <w:r>
        <w:rPr>
          <w:rFonts w:ascii="Calibri" w:hAnsi="Calibri" w:cs="Calibri"/>
          <w:sz w:val="22"/>
          <w:szCs w:val="22"/>
          <w:lang w:eastAsia="en-US"/>
        </w:rPr>
        <w:t xml:space="preserve"> στην εξέλιξη του φαινομένου της ενεργειακής ένδειας</w:t>
      </w:r>
      <w:r w:rsidR="00223EAD">
        <w:rPr>
          <w:rFonts w:ascii="Calibri" w:hAnsi="Calibri" w:cs="Calibri"/>
          <w:sz w:val="22"/>
          <w:szCs w:val="22"/>
          <w:lang w:eastAsia="en-US"/>
        </w:rPr>
        <w:t>,</w:t>
      </w:r>
      <w:r>
        <w:rPr>
          <w:rFonts w:ascii="Calibri" w:hAnsi="Calibri" w:cs="Calibri"/>
          <w:sz w:val="22"/>
          <w:szCs w:val="22"/>
          <w:lang w:eastAsia="en-US"/>
        </w:rPr>
        <w:t xml:space="preserve"> </w:t>
      </w:r>
      <w:r w:rsidR="00362FC8">
        <w:rPr>
          <w:rFonts w:ascii="Calibri" w:hAnsi="Calibri" w:cs="Calibri"/>
          <w:sz w:val="22"/>
          <w:szCs w:val="22"/>
          <w:lang w:eastAsia="en-US"/>
        </w:rPr>
        <w:t xml:space="preserve">καθώς </w:t>
      </w:r>
      <w:r>
        <w:rPr>
          <w:rFonts w:ascii="Calibri" w:hAnsi="Calibri" w:cs="Calibri"/>
          <w:sz w:val="22"/>
          <w:szCs w:val="22"/>
          <w:lang w:eastAsia="en-US"/>
        </w:rPr>
        <w:t xml:space="preserve">και στις νέες συνθήκες που </w:t>
      </w:r>
      <w:r w:rsidR="000D5C7F">
        <w:rPr>
          <w:rFonts w:ascii="Calibri" w:hAnsi="Calibri" w:cs="Calibri"/>
          <w:sz w:val="22"/>
          <w:szCs w:val="22"/>
          <w:lang w:eastAsia="en-US"/>
        </w:rPr>
        <w:t xml:space="preserve">διαμορφώνονται και </w:t>
      </w:r>
      <w:r w:rsidR="00362FC8">
        <w:rPr>
          <w:rFonts w:ascii="Calibri" w:hAnsi="Calibri" w:cs="Calibri"/>
          <w:sz w:val="22"/>
          <w:szCs w:val="22"/>
          <w:lang w:eastAsia="en-US"/>
        </w:rPr>
        <w:t>επηρεάζουν</w:t>
      </w:r>
      <w:r>
        <w:rPr>
          <w:rFonts w:ascii="Calibri" w:hAnsi="Calibri" w:cs="Calibri"/>
          <w:sz w:val="22"/>
          <w:szCs w:val="22"/>
          <w:lang w:eastAsia="en-US"/>
        </w:rPr>
        <w:t xml:space="preserve"> την τελική κατανάλωση ενέργειας στα νοικοκυριά </w:t>
      </w:r>
      <w:r w:rsidR="00362FC8">
        <w:rPr>
          <w:rFonts w:ascii="Calibri" w:hAnsi="Calibri" w:cs="Calibri"/>
          <w:sz w:val="22"/>
          <w:szCs w:val="22"/>
          <w:lang w:eastAsia="en-US"/>
        </w:rPr>
        <w:t>και το κόστος της ενέργειας</w:t>
      </w:r>
      <w:r>
        <w:rPr>
          <w:rFonts w:ascii="Calibri" w:hAnsi="Calibri" w:cs="Calibri"/>
          <w:sz w:val="22"/>
          <w:szCs w:val="22"/>
          <w:lang w:eastAsia="en-US"/>
        </w:rPr>
        <w:t>.</w:t>
      </w:r>
      <w:r w:rsidR="00846319">
        <w:rPr>
          <w:rFonts w:ascii="Calibri" w:hAnsi="Calibri" w:cs="Calibri"/>
          <w:sz w:val="22"/>
          <w:szCs w:val="22"/>
          <w:lang w:eastAsia="en-US"/>
        </w:rPr>
        <w:t xml:space="preserve"> </w:t>
      </w:r>
      <w:r w:rsidR="0053651E">
        <w:rPr>
          <w:rFonts w:ascii="Calibri" w:hAnsi="Calibri" w:cs="Calibri"/>
          <w:sz w:val="22"/>
          <w:szCs w:val="22"/>
          <w:lang w:eastAsia="en-US"/>
        </w:rPr>
        <w:t>Επίσης, θα δοθεί</w:t>
      </w:r>
      <w:r w:rsidR="000163F4">
        <w:rPr>
          <w:rFonts w:ascii="Calibri" w:hAnsi="Calibri" w:cs="Calibri"/>
          <w:sz w:val="22"/>
          <w:szCs w:val="22"/>
          <w:lang w:eastAsia="en-US"/>
        </w:rPr>
        <w:t xml:space="preserve"> π</w:t>
      </w:r>
      <w:r w:rsidR="0090708D">
        <w:rPr>
          <w:rFonts w:ascii="Calibri" w:hAnsi="Calibri" w:cs="Calibri"/>
          <w:sz w:val="22"/>
          <w:szCs w:val="22"/>
          <w:lang w:eastAsia="en-US"/>
        </w:rPr>
        <w:t xml:space="preserve">ροτεραιότητα στην αποτίμηση των επιπτώσεων του φόρου άνθρακα στα </w:t>
      </w:r>
      <w:r w:rsidR="00AA348E">
        <w:rPr>
          <w:rFonts w:ascii="Calibri" w:hAnsi="Calibri" w:cs="Calibri"/>
          <w:sz w:val="22"/>
          <w:szCs w:val="22"/>
          <w:lang w:eastAsia="en-US"/>
        </w:rPr>
        <w:t>ενεργειακά</w:t>
      </w:r>
      <w:r w:rsidR="0090708D">
        <w:rPr>
          <w:rFonts w:ascii="Calibri" w:hAnsi="Calibri" w:cs="Calibri"/>
          <w:sz w:val="22"/>
          <w:szCs w:val="22"/>
          <w:lang w:eastAsia="en-US"/>
        </w:rPr>
        <w:t xml:space="preserve"> </w:t>
      </w:r>
      <w:r w:rsidR="00AA348E">
        <w:rPr>
          <w:rFonts w:ascii="Calibri" w:hAnsi="Calibri" w:cs="Calibri"/>
          <w:sz w:val="22"/>
          <w:szCs w:val="22"/>
          <w:lang w:eastAsia="en-US"/>
        </w:rPr>
        <w:t>προϊόντα</w:t>
      </w:r>
      <w:r w:rsidR="0090708D">
        <w:rPr>
          <w:rFonts w:ascii="Calibri" w:hAnsi="Calibri" w:cs="Calibri"/>
          <w:sz w:val="22"/>
          <w:szCs w:val="22"/>
          <w:lang w:eastAsia="en-US"/>
        </w:rPr>
        <w:t xml:space="preserve"> που χρησιμοποιούνται για </w:t>
      </w:r>
      <w:r w:rsidR="00AA348E">
        <w:rPr>
          <w:rFonts w:ascii="Calibri" w:hAnsi="Calibri" w:cs="Calibri"/>
          <w:sz w:val="22"/>
          <w:szCs w:val="22"/>
          <w:lang w:eastAsia="en-US"/>
        </w:rPr>
        <w:t>τη θέρμανση</w:t>
      </w:r>
      <w:r w:rsidR="0090708D">
        <w:rPr>
          <w:rFonts w:ascii="Calibri" w:hAnsi="Calibri" w:cs="Calibri"/>
          <w:sz w:val="22"/>
          <w:szCs w:val="22"/>
          <w:lang w:eastAsia="en-US"/>
        </w:rPr>
        <w:t xml:space="preserve"> </w:t>
      </w:r>
      <w:r w:rsidR="00AA348E">
        <w:rPr>
          <w:rFonts w:ascii="Calibri" w:hAnsi="Calibri" w:cs="Calibri"/>
          <w:sz w:val="22"/>
          <w:szCs w:val="22"/>
          <w:lang w:eastAsia="en-US"/>
        </w:rPr>
        <w:t>στο πλαίσιο του Συστήματος Εμπορίας Δικαιωμάτων Εκπομπών 2 και την επικείμενη αύξηση των τιμών ενέργειας.</w:t>
      </w:r>
    </w:p>
    <w:p w14:paraId="31B608B3" w14:textId="6007D416" w:rsidR="002C70FF" w:rsidRDefault="0090708D" w:rsidP="005616AF">
      <w:pPr>
        <w:pStyle w:val="Web"/>
        <w:spacing w:before="120" w:beforeAutospacing="0" w:after="120" w:afterAutospacing="0" w:line="276"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Επιπρόσθετα, </w:t>
      </w:r>
      <w:r w:rsidR="00846319">
        <w:rPr>
          <w:rFonts w:ascii="Calibri" w:hAnsi="Calibri" w:cs="Calibri"/>
          <w:sz w:val="22"/>
          <w:szCs w:val="22"/>
          <w:lang w:eastAsia="en-US"/>
        </w:rPr>
        <w:t>θα μελετηθεί η εντατικοποίηση του φαινομένου σε άλλες χρήσεις ενέργειας (όπως είναι για παράδειγμα η ψύξη χώρων)</w:t>
      </w:r>
      <w:r w:rsidR="00C42217">
        <w:rPr>
          <w:rFonts w:ascii="Calibri" w:hAnsi="Calibri" w:cs="Calibri"/>
          <w:sz w:val="22"/>
          <w:szCs w:val="22"/>
          <w:lang w:eastAsia="en-US"/>
        </w:rPr>
        <w:t>,</w:t>
      </w:r>
      <w:r w:rsidR="00846319">
        <w:rPr>
          <w:rFonts w:ascii="Calibri" w:hAnsi="Calibri" w:cs="Calibri"/>
          <w:sz w:val="22"/>
          <w:szCs w:val="22"/>
          <w:lang w:eastAsia="en-US"/>
        </w:rPr>
        <w:t xml:space="preserve"> λόγω των επικείμενων αλλαγών στις υφιστάμενες κλιματικές συνθήκες.</w:t>
      </w:r>
    </w:p>
    <w:p w14:paraId="31B608B7" w14:textId="5598AC50" w:rsidR="002C70FF" w:rsidRDefault="002C70FF" w:rsidP="005616AF">
      <w:pPr>
        <w:pStyle w:val="Web"/>
        <w:spacing w:before="120" w:beforeAutospacing="0" w:after="120" w:afterAutospacing="0" w:line="276" w:lineRule="auto"/>
        <w:jc w:val="both"/>
        <w:rPr>
          <w:rFonts w:ascii="Calibri" w:hAnsi="Calibri" w:cs="Calibri"/>
          <w:sz w:val="22"/>
          <w:szCs w:val="22"/>
          <w:lang w:eastAsia="en-US"/>
        </w:rPr>
      </w:pPr>
      <w:r>
        <w:rPr>
          <w:rFonts w:ascii="Calibri" w:hAnsi="Calibri" w:cs="Calibri"/>
          <w:sz w:val="22"/>
          <w:szCs w:val="22"/>
          <w:lang w:eastAsia="en-US"/>
        </w:rPr>
        <w:t>Σε κάθε περίπτωση</w:t>
      </w:r>
      <w:r w:rsidR="00C42217">
        <w:rPr>
          <w:rFonts w:ascii="Calibri" w:hAnsi="Calibri" w:cs="Calibri"/>
          <w:sz w:val="22"/>
          <w:szCs w:val="22"/>
          <w:lang w:eastAsia="en-US"/>
        </w:rPr>
        <w:t>,</w:t>
      </w:r>
      <w:r>
        <w:rPr>
          <w:rFonts w:ascii="Calibri" w:hAnsi="Calibri" w:cs="Calibri"/>
          <w:sz w:val="22"/>
          <w:szCs w:val="22"/>
          <w:lang w:eastAsia="en-US"/>
        </w:rPr>
        <w:t xml:space="preserve"> ο εντοπισμός των </w:t>
      </w:r>
      <w:r w:rsidR="00C20E3A">
        <w:rPr>
          <w:rFonts w:ascii="Calibri" w:hAnsi="Calibri" w:cs="Calibri"/>
          <w:sz w:val="22"/>
          <w:szCs w:val="22"/>
          <w:lang w:eastAsia="en-US"/>
        </w:rPr>
        <w:t>ενεργειακά φτωχών</w:t>
      </w:r>
      <w:r>
        <w:rPr>
          <w:rFonts w:ascii="Calibri" w:hAnsi="Calibri" w:cs="Calibri"/>
          <w:sz w:val="22"/>
          <w:szCs w:val="22"/>
          <w:lang w:eastAsia="en-US"/>
        </w:rPr>
        <w:t xml:space="preserve"> νοικοκυριών πρέπει να βα</w:t>
      </w:r>
      <w:r w:rsidR="000B1C31">
        <w:rPr>
          <w:rFonts w:ascii="Calibri" w:hAnsi="Calibri" w:cs="Calibri"/>
          <w:sz w:val="22"/>
          <w:szCs w:val="22"/>
          <w:lang w:eastAsia="en-US"/>
        </w:rPr>
        <w:t>σίζεται</w:t>
      </w:r>
      <w:r>
        <w:rPr>
          <w:rFonts w:ascii="Calibri" w:hAnsi="Calibri" w:cs="Calibri"/>
          <w:sz w:val="22"/>
          <w:szCs w:val="22"/>
          <w:lang w:eastAsia="en-US"/>
        </w:rPr>
        <w:t xml:space="preserve"> σε επίσημες και εύκολα προσβάσιμες πηγές δεδομένων (π.χ. Γενική Γραμματεία Πληροφοριακών συστημάτων, Ελληνική Στατιστική Αρχή κ.α.)</w:t>
      </w:r>
      <w:r w:rsidR="00C20E3A">
        <w:rPr>
          <w:rFonts w:ascii="Calibri" w:hAnsi="Calibri" w:cs="Calibri"/>
          <w:sz w:val="22"/>
          <w:szCs w:val="22"/>
          <w:lang w:eastAsia="en-US"/>
        </w:rPr>
        <w:t xml:space="preserve">, λαμβάνοντας υπόψη ότι </w:t>
      </w:r>
      <w:r w:rsidR="008447A5">
        <w:rPr>
          <w:rFonts w:ascii="Calibri" w:hAnsi="Calibri" w:cs="Calibri"/>
          <w:sz w:val="22"/>
          <w:szCs w:val="22"/>
          <w:lang w:eastAsia="en-US"/>
        </w:rPr>
        <w:t xml:space="preserve">η </w:t>
      </w:r>
      <w:r>
        <w:rPr>
          <w:rFonts w:ascii="Calibri" w:hAnsi="Calibri" w:cs="Calibri"/>
          <w:sz w:val="22"/>
          <w:szCs w:val="22"/>
          <w:lang w:eastAsia="en-US"/>
        </w:rPr>
        <w:t xml:space="preserve"> </w:t>
      </w:r>
      <w:r w:rsidR="00E94AC2">
        <w:rPr>
          <w:rFonts w:ascii="Calibri" w:hAnsi="Calibri" w:cs="Calibri"/>
          <w:sz w:val="22"/>
          <w:szCs w:val="22"/>
          <w:lang w:eastAsia="en-US"/>
        </w:rPr>
        <w:t xml:space="preserve">μη ικανοποιητική </w:t>
      </w:r>
      <w:r>
        <w:rPr>
          <w:rFonts w:ascii="Calibri" w:hAnsi="Calibri" w:cs="Calibri"/>
          <w:sz w:val="22"/>
          <w:szCs w:val="22"/>
          <w:lang w:eastAsia="en-US"/>
        </w:rPr>
        <w:t xml:space="preserve">προστασία των </w:t>
      </w:r>
      <w:r w:rsidR="00C42217">
        <w:rPr>
          <w:rFonts w:ascii="Calibri" w:hAnsi="Calibri" w:cs="Calibri"/>
          <w:sz w:val="22"/>
          <w:szCs w:val="22"/>
          <w:lang w:eastAsia="en-US"/>
        </w:rPr>
        <w:t xml:space="preserve">προσωπικών δεδομένων των ενεργειακά φτωχών </w:t>
      </w:r>
      <w:r>
        <w:rPr>
          <w:rFonts w:ascii="Calibri" w:hAnsi="Calibri" w:cs="Calibri"/>
          <w:sz w:val="22"/>
          <w:szCs w:val="22"/>
          <w:lang w:eastAsia="en-US"/>
        </w:rPr>
        <w:t xml:space="preserve">νοικοκυριών </w:t>
      </w:r>
      <w:r w:rsidR="008447A5">
        <w:rPr>
          <w:rFonts w:ascii="Calibri" w:hAnsi="Calibri" w:cs="Calibri"/>
          <w:sz w:val="22"/>
          <w:szCs w:val="22"/>
          <w:lang w:eastAsia="en-US"/>
        </w:rPr>
        <w:t xml:space="preserve">δύναται </w:t>
      </w:r>
      <w:r w:rsidR="00C42217">
        <w:rPr>
          <w:rFonts w:ascii="Calibri" w:hAnsi="Calibri" w:cs="Calibri"/>
          <w:sz w:val="22"/>
          <w:szCs w:val="22"/>
          <w:lang w:eastAsia="en-US"/>
        </w:rPr>
        <w:t xml:space="preserve"> να αποτελέσει ανασταλτικό παράγοντα</w:t>
      </w:r>
      <w:r>
        <w:rPr>
          <w:rFonts w:ascii="Calibri" w:hAnsi="Calibri" w:cs="Calibri"/>
          <w:sz w:val="22"/>
          <w:szCs w:val="22"/>
          <w:lang w:eastAsia="en-US"/>
        </w:rPr>
        <w:t xml:space="preserve"> για τη συμμετοχή τους στα σχεδιαζόμενα μέτρα πολιτικής.</w:t>
      </w:r>
    </w:p>
    <w:p w14:paraId="31B608B8" w14:textId="50FAA2E9" w:rsidR="002C70FF" w:rsidRDefault="002C70FF" w:rsidP="005616AF">
      <w:pPr>
        <w:pStyle w:val="Web"/>
        <w:spacing w:before="120" w:beforeAutospacing="0" w:after="120" w:afterAutospacing="0" w:line="276" w:lineRule="auto"/>
        <w:jc w:val="both"/>
        <w:rPr>
          <w:rFonts w:ascii="Calibri" w:hAnsi="Calibri" w:cs="Calibri"/>
          <w:sz w:val="22"/>
          <w:szCs w:val="22"/>
          <w:lang w:eastAsia="en-US"/>
        </w:rPr>
      </w:pPr>
      <w:r>
        <w:rPr>
          <w:rFonts w:ascii="Calibri" w:hAnsi="Calibri" w:cs="Calibri"/>
          <w:sz w:val="22"/>
          <w:szCs w:val="22"/>
          <w:lang w:eastAsia="en-US"/>
        </w:rPr>
        <w:t xml:space="preserve">Ο ρόλος των ΟΤΑ και των διαφόρων οργανισμών σε τοπικό επίπεδο θεωρείται κρίσιμος για τον αποτελεσματικό εντοπισμό και τη συμμετοχή των </w:t>
      </w:r>
      <w:r w:rsidRPr="00BB77B3">
        <w:rPr>
          <w:rFonts w:ascii="Calibri" w:hAnsi="Calibri" w:cs="Calibri"/>
          <w:sz w:val="22"/>
          <w:szCs w:val="22"/>
          <w:lang w:eastAsia="en-US"/>
        </w:rPr>
        <w:t xml:space="preserve">πληττόμενων </w:t>
      </w:r>
      <w:r>
        <w:rPr>
          <w:rFonts w:ascii="Calibri" w:hAnsi="Calibri" w:cs="Calibri"/>
          <w:sz w:val="22"/>
          <w:szCs w:val="22"/>
          <w:lang w:eastAsia="en-US"/>
        </w:rPr>
        <w:t>νοικοκυριών στα σχεδιαζόμενα μέτρα πολιτικής. Επίσης, οι συνέργειες με την κοινωνική πολιτική της χώρας για την καταπολέμηση γενικότερα της φτώχειας πρέπει να μεγιστοποιηθούν</w:t>
      </w:r>
      <w:r w:rsidR="00C42217">
        <w:rPr>
          <w:rFonts w:ascii="Calibri" w:hAnsi="Calibri" w:cs="Calibri"/>
          <w:sz w:val="22"/>
          <w:szCs w:val="22"/>
          <w:lang w:eastAsia="en-US"/>
        </w:rPr>
        <w:t>,</w:t>
      </w:r>
      <w:r>
        <w:rPr>
          <w:rFonts w:ascii="Calibri" w:hAnsi="Calibri" w:cs="Calibri"/>
          <w:sz w:val="22"/>
          <w:szCs w:val="22"/>
          <w:lang w:eastAsia="en-US"/>
        </w:rPr>
        <w:t xml:space="preserve"> λαμβάνοντας υπόψη τις ιδιαιτερότητες των </w:t>
      </w:r>
      <w:r w:rsidRPr="00BB77B3">
        <w:rPr>
          <w:rFonts w:ascii="Calibri" w:hAnsi="Calibri" w:cs="Calibri"/>
          <w:sz w:val="22"/>
          <w:szCs w:val="22"/>
          <w:lang w:eastAsia="en-US"/>
        </w:rPr>
        <w:t xml:space="preserve">πληττόμενων </w:t>
      </w:r>
      <w:r>
        <w:rPr>
          <w:rFonts w:ascii="Calibri" w:hAnsi="Calibri" w:cs="Calibri"/>
          <w:sz w:val="22"/>
          <w:szCs w:val="22"/>
          <w:lang w:eastAsia="en-US"/>
        </w:rPr>
        <w:t>νοικοκυριών και στοχεύοντας στην εξάλειψη του συγκεκριμένου φαινομένου.</w:t>
      </w:r>
    </w:p>
    <w:p w14:paraId="31B608B9" w14:textId="5F695BA8" w:rsidR="002C70FF" w:rsidRPr="005616AF" w:rsidRDefault="002C70FF" w:rsidP="002F5600">
      <w:pPr>
        <w:pStyle w:val="Web"/>
        <w:spacing w:before="120" w:beforeAutospacing="0" w:after="120" w:afterAutospacing="0" w:line="276" w:lineRule="auto"/>
        <w:jc w:val="both"/>
        <w:rPr>
          <w:rFonts w:ascii="Calibri" w:hAnsi="Calibri" w:cs="Calibri"/>
          <w:sz w:val="22"/>
          <w:szCs w:val="22"/>
          <w:lang w:eastAsia="en-US"/>
        </w:rPr>
      </w:pPr>
      <w:r>
        <w:rPr>
          <w:rFonts w:ascii="Calibri" w:hAnsi="Calibri" w:cs="Calibri"/>
          <w:sz w:val="22"/>
          <w:szCs w:val="22"/>
          <w:lang w:eastAsia="en-US"/>
        </w:rPr>
        <w:t>Αναφορικά με τα σχεδιαζόμενα μέτρα πολιτικής, προτεραιότητα αποτελεί η μακροπρόθεσμη αντιμετώπιση του φαινομένου της ενεργειακής ένδειας</w:t>
      </w:r>
      <w:r w:rsidR="008447A5">
        <w:rPr>
          <w:rFonts w:ascii="Calibri" w:hAnsi="Calibri" w:cs="Calibri"/>
          <w:sz w:val="22"/>
          <w:szCs w:val="22"/>
          <w:lang w:eastAsia="en-US"/>
        </w:rPr>
        <w:t xml:space="preserve"> και</w:t>
      </w:r>
      <w:r w:rsidR="00E94AC2">
        <w:rPr>
          <w:rFonts w:ascii="Calibri" w:hAnsi="Calibri" w:cs="Calibri"/>
          <w:sz w:val="22"/>
          <w:szCs w:val="22"/>
          <w:lang w:eastAsia="en-US"/>
        </w:rPr>
        <w:t>,</w:t>
      </w:r>
      <w:r w:rsidR="008447A5">
        <w:rPr>
          <w:rFonts w:ascii="Calibri" w:hAnsi="Calibri" w:cs="Calibri"/>
          <w:sz w:val="22"/>
          <w:szCs w:val="22"/>
          <w:lang w:eastAsia="en-US"/>
        </w:rPr>
        <w:t xml:space="preserve"> </w:t>
      </w:r>
      <w:r w:rsidR="00E94AC2">
        <w:rPr>
          <w:rFonts w:ascii="Calibri" w:hAnsi="Calibri" w:cs="Calibri"/>
          <w:sz w:val="22"/>
          <w:szCs w:val="22"/>
          <w:lang w:eastAsia="en-US"/>
        </w:rPr>
        <w:t>τ</w:t>
      </w:r>
      <w:r>
        <w:rPr>
          <w:rFonts w:ascii="Calibri" w:hAnsi="Calibri" w:cs="Calibri"/>
          <w:sz w:val="22"/>
          <w:szCs w:val="22"/>
          <w:lang w:eastAsia="en-US"/>
        </w:rPr>
        <w:t>αυτόχρονα</w:t>
      </w:r>
      <w:r w:rsidR="009B1F37">
        <w:rPr>
          <w:rFonts w:ascii="Calibri" w:hAnsi="Calibri" w:cs="Calibri"/>
          <w:sz w:val="22"/>
          <w:szCs w:val="22"/>
          <w:lang w:eastAsia="en-US"/>
        </w:rPr>
        <w:t>,</w:t>
      </w:r>
      <w:r>
        <w:rPr>
          <w:rFonts w:ascii="Calibri" w:hAnsi="Calibri" w:cs="Calibri"/>
          <w:sz w:val="22"/>
          <w:szCs w:val="22"/>
          <w:lang w:eastAsia="en-US"/>
        </w:rPr>
        <w:t xml:space="preserve"> </w:t>
      </w:r>
      <w:r w:rsidR="00E94AC2">
        <w:rPr>
          <w:rFonts w:ascii="Calibri" w:hAnsi="Calibri" w:cs="Calibri"/>
          <w:sz w:val="22"/>
          <w:szCs w:val="22"/>
          <w:lang w:eastAsia="en-US"/>
        </w:rPr>
        <w:t xml:space="preserve">πρέπει </w:t>
      </w:r>
      <w:r>
        <w:rPr>
          <w:rFonts w:ascii="Calibri" w:hAnsi="Calibri" w:cs="Calibri"/>
          <w:sz w:val="22"/>
          <w:szCs w:val="22"/>
          <w:lang w:eastAsia="en-US"/>
        </w:rPr>
        <w:t xml:space="preserve">να ληφθούν υπόψη οι βασικές επιδιώξεις του ΕΣΕΚ αναφορικά με το σχεδιασμό αποδοτικών μέτρων </w:t>
      </w:r>
      <w:r w:rsidR="00453F33">
        <w:rPr>
          <w:rFonts w:ascii="Calibri" w:hAnsi="Calibri" w:cs="Calibri"/>
          <w:sz w:val="22"/>
          <w:szCs w:val="22"/>
          <w:lang w:eastAsia="en-US"/>
        </w:rPr>
        <w:t>και πολιτικών</w:t>
      </w:r>
      <w:r>
        <w:rPr>
          <w:rFonts w:ascii="Calibri" w:hAnsi="Calibri" w:cs="Calibri"/>
          <w:sz w:val="22"/>
          <w:szCs w:val="22"/>
          <w:lang w:eastAsia="en-US"/>
        </w:rPr>
        <w:t>, την προώθηση των βέλτιστων παρεμβάσεων από πλευράς κόστους-αποτελέσματος και τη μεγαλύτερη αξιοποίηση των διαθέσιμων μηχανισμών της αγοράς.</w:t>
      </w:r>
    </w:p>
    <w:p w14:paraId="31B608BA" w14:textId="375914B0" w:rsidR="002C70FF" w:rsidRDefault="002C70FF" w:rsidP="002F5600">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Τέλος, λόγω του γεγονότος ότι πρωταρχικός στόχος των σχεδιαζόμενων μέτρων </w:t>
      </w:r>
      <w:r w:rsidR="00453F33">
        <w:rPr>
          <w:rFonts w:ascii="Calibri" w:hAnsi="Calibri" w:cs="Calibri"/>
          <w:sz w:val="22"/>
          <w:szCs w:val="22"/>
          <w:lang w:eastAsia="en-US"/>
        </w:rPr>
        <w:t>και πολιτικών</w:t>
      </w:r>
      <w:r w:rsidR="00453F33">
        <w:rPr>
          <w:rFonts w:ascii="Calibri" w:hAnsi="Calibri" w:cs="Calibri"/>
          <w:sz w:val="22"/>
          <w:szCs w:val="22"/>
        </w:rPr>
        <w:t xml:space="preserve"> </w:t>
      </w:r>
      <w:r>
        <w:rPr>
          <w:rFonts w:ascii="Calibri" w:hAnsi="Calibri" w:cs="Calibri"/>
          <w:sz w:val="22"/>
          <w:szCs w:val="22"/>
        </w:rPr>
        <w:t xml:space="preserve">στο πλαίσιο του παρόντος Σχεδίου Δράσης αποτελεί η προστασία των </w:t>
      </w:r>
      <w:r w:rsidRPr="00BB77B3">
        <w:rPr>
          <w:rFonts w:ascii="Calibri" w:hAnsi="Calibri" w:cs="Calibri"/>
          <w:sz w:val="22"/>
          <w:szCs w:val="22"/>
        </w:rPr>
        <w:t xml:space="preserve">πληττόμενων </w:t>
      </w:r>
      <w:r>
        <w:rPr>
          <w:rFonts w:ascii="Calibri" w:hAnsi="Calibri" w:cs="Calibri"/>
          <w:sz w:val="22"/>
          <w:szCs w:val="22"/>
        </w:rPr>
        <w:t xml:space="preserve">νοικοκυριών και η ριζική αντιμετώπιση του φαινομένου της ενεργειακής ένδειας, πρέπει να αντισταθμιστεί η ενδεχόμενη αύξηση της τελικής κατανάλωσης ενέργειας και των συνεπαγόμενων εκπομπών </w:t>
      </w:r>
      <w:r w:rsidR="008447A5">
        <w:rPr>
          <w:rFonts w:ascii="Calibri" w:hAnsi="Calibri" w:cs="Calibri"/>
          <w:sz w:val="22"/>
          <w:szCs w:val="22"/>
        </w:rPr>
        <w:t>από</w:t>
      </w:r>
      <w:r>
        <w:rPr>
          <w:rFonts w:ascii="Calibri" w:hAnsi="Calibri" w:cs="Calibri"/>
          <w:sz w:val="22"/>
          <w:szCs w:val="22"/>
        </w:rPr>
        <w:t xml:space="preserve"> την κάλυψη των επιπέδων θερμικής άνεσης που δεν καλύπτονταν επαρκώς μέχρι σήμερα.</w:t>
      </w:r>
    </w:p>
    <w:p w14:paraId="31B608BB" w14:textId="77777777" w:rsidR="002C70FF" w:rsidRDefault="002C70FF" w:rsidP="002F5600">
      <w:pPr>
        <w:pStyle w:val="Web"/>
        <w:spacing w:before="120" w:beforeAutospacing="0" w:after="120" w:afterAutospacing="0" w:line="276" w:lineRule="auto"/>
        <w:jc w:val="both"/>
        <w:rPr>
          <w:rFonts w:ascii="Calibri" w:hAnsi="Calibri" w:cs="Calibri"/>
          <w:sz w:val="22"/>
          <w:szCs w:val="22"/>
        </w:rPr>
      </w:pPr>
    </w:p>
    <w:p w14:paraId="31B608BC" w14:textId="77777777" w:rsidR="002C70FF" w:rsidRPr="00A1423E" w:rsidRDefault="002C70FF" w:rsidP="009E3D34">
      <w:pPr>
        <w:pStyle w:val="2"/>
        <w:numPr>
          <w:ilvl w:val="1"/>
          <w:numId w:val="1"/>
        </w:numPr>
        <w:spacing w:before="120" w:after="120"/>
        <w:rPr>
          <w:rFonts w:ascii="Calibri" w:hAnsi="Calibri" w:cs="Calibri"/>
          <w:color w:val="002060"/>
        </w:rPr>
      </w:pPr>
      <w:bookmarkStart w:id="6" w:name="_Toc214271394"/>
      <w:r>
        <w:rPr>
          <w:rFonts w:ascii="Calibri" w:hAnsi="Calibri" w:cs="Calibri"/>
          <w:color w:val="002060"/>
        </w:rPr>
        <w:t>Προτεραιότητες και στόχοι Σχεδίου Δράσης</w:t>
      </w:r>
      <w:bookmarkEnd w:id="6"/>
    </w:p>
    <w:p w14:paraId="31B608BE" w14:textId="51BCF145" w:rsidR="002C70FF" w:rsidRDefault="002C70FF" w:rsidP="009E3D3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Η δρομολόγηση στοχευμένων μέτρων </w:t>
      </w:r>
      <w:r w:rsidR="00453F33">
        <w:rPr>
          <w:rFonts w:ascii="Calibri" w:hAnsi="Calibri" w:cs="Calibri"/>
          <w:sz w:val="22"/>
          <w:szCs w:val="22"/>
          <w:lang w:eastAsia="en-US"/>
        </w:rPr>
        <w:t>και πολιτικών</w:t>
      </w:r>
      <w:r>
        <w:rPr>
          <w:rFonts w:ascii="Calibri" w:hAnsi="Calibri" w:cs="Calibri"/>
          <w:sz w:val="22"/>
          <w:szCs w:val="22"/>
        </w:rPr>
        <w:t xml:space="preserve"> </w:t>
      </w:r>
      <w:r w:rsidRPr="00AB2FF5">
        <w:rPr>
          <w:rFonts w:ascii="Calibri" w:hAnsi="Calibri" w:cs="Calibri"/>
          <w:sz w:val="22"/>
          <w:szCs w:val="22"/>
        </w:rPr>
        <w:t>με σκοπό την εξάλειψη του φαινομένου της ενεργειακής ένδειας</w:t>
      </w:r>
      <w:r>
        <w:rPr>
          <w:rFonts w:ascii="Calibri" w:hAnsi="Calibri" w:cs="Calibri"/>
          <w:sz w:val="22"/>
          <w:szCs w:val="22"/>
        </w:rPr>
        <w:t>,</w:t>
      </w:r>
      <w:r w:rsidRPr="00AB2FF5">
        <w:rPr>
          <w:rFonts w:ascii="Calibri" w:hAnsi="Calibri" w:cs="Calibri"/>
          <w:sz w:val="22"/>
          <w:szCs w:val="22"/>
        </w:rPr>
        <w:t xml:space="preserve"> </w:t>
      </w:r>
      <w:r w:rsidR="009B1F37" w:rsidRPr="009B1F37">
        <w:rPr>
          <w:rFonts w:ascii="Calibri" w:hAnsi="Calibri" w:cs="Calibri"/>
          <w:sz w:val="22"/>
          <w:szCs w:val="22"/>
        </w:rPr>
        <w:t>όπως περιλήφθηκαν στο πλαίσιο του ΕΣΕΚ</w:t>
      </w:r>
      <w:r w:rsidR="009B1F37">
        <w:rPr>
          <w:rFonts w:ascii="Calibri" w:hAnsi="Calibri" w:cs="Calibri"/>
          <w:sz w:val="22"/>
          <w:szCs w:val="22"/>
        </w:rPr>
        <w:t>,</w:t>
      </w:r>
      <w:r w:rsidR="009B1F37" w:rsidRPr="009B1F37">
        <w:rPr>
          <w:rFonts w:ascii="Calibri" w:hAnsi="Calibri" w:cs="Calibri"/>
          <w:sz w:val="22"/>
          <w:szCs w:val="22"/>
        </w:rPr>
        <w:t xml:space="preserve"> </w:t>
      </w:r>
      <w:r w:rsidR="00935E9B">
        <w:rPr>
          <w:rFonts w:ascii="Calibri" w:hAnsi="Calibri" w:cs="Calibri"/>
          <w:sz w:val="22"/>
          <w:szCs w:val="22"/>
        </w:rPr>
        <w:t xml:space="preserve">έχουν ως γνώμονα </w:t>
      </w:r>
      <w:r w:rsidRPr="00AB2FF5">
        <w:rPr>
          <w:rFonts w:ascii="Calibri" w:hAnsi="Calibri" w:cs="Calibri"/>
          <w:sz w:val="22"/>
          <w:szCs w:val="22"/>
        </w:rPr>
        <w:t xml:space="preserve">την κάλυψη των προβλεπόμενων συνθηκών άνεσης και την αποφυγή των συνεπαγόμενων προβλημάτων υγείας. </w:t>
      </w:r>
      <w:r>
        <w:rPr>
          <w:rFonts w:ascii="Calibri" w:hAnsi="Calibri" w:cs="Calibri"/>
          <w:sz w:val="22"/>
          <w:szCs w:val="22"/>
        </w:rPr>
        <w:t xml:space="preserve">Επιπρόσθετα, σημαντικά αναμένεται να είναι και τα περιβαλλοντικά οφέλη </w:t>
      </w:r>
      <w:r w:rsidRPr="00AB2FF5">
        <w:rPr>
          <w:rFonts w:ascii="Calibri" w:hAnsi="Calibri" w:cs="Calibri"/>
          <w:sz w:val="22"/>
          <w:szCs w:val="22"/>
        </w:rPr>
        <w:t xml:space="preserve">για το σύνολο των πολιτών, </w:t>
      </w:r>
      <w:r>
        <w:rPr>
          <w:rFonts w:ascii="Calibri" w:hAnsi="Calibri" w:cs="Calibri"/>
          <w:sz w:val="22"/>
          <w:szCs w:val="22"/>
        </w:rPr>
        <w:t xml:space="preserve">όπως για παράδειγμα </w:t>
      </w:r>
      <w:r w:rsidRPr="00AB2FF5">
        <w:rPr>
          <w:rFonts w:ascii="Calibri" w:hAnsi="Calibri" w:cs="Calibri"/>
          <w:sz w:val="22"/>
          <w:szCs w:val="22"/>
        </w:rPr>
        <w:t>η με</w:t>
      </w:r>
      <w:r>
        <w:rPr>
          <w:rFonts w:ascii="Calibri" w:hAnsi="Calibri" w:cs="Calibri"/>
          <w:sz w:val="22"/>
          <w:szCs w:val="22"/>
        </w:rPr>
        <w:t>ίωση της ατμοσφαιρικής ρύπανσης</w:t>
      </w:r>
      <w:r w:rsidR="00E11323">
        <w:rPr>
          <w:rFonts w:ascii="Calibri" w:hAnsi="Calibri" w:cs="Calibri"/>
          <w:sz w:val="22"/>
          <w:szCs w:val="22"/>
        </w:rPr>
        <w:t>,</w:t>
      </w:r>
      <w:r w:rsidRPr="00AB2FF5">
        <w:rPr>
          <w:rFonts w:ascii="Calibri" w:hAnsi="Calibri" w:cs="Calibri"/>
          <w:sz w:val="22"/>
          <w:szCs w:val="22"/>
        </w:rPr>
        <w:t xml:space="preserve"> ιδιαί</w:t>
      </w:r>
      <w:r>
        <w:rPr>
          <w:rFonts w:ascii="Calibri" w:hAnsi="Calibri" w:cs="Calibri"/>
          <w:sz w:val="22"/>
          <w:szCs w:val="22"/>
        </w:rPr>
        <w:t>τερα στα αστικά κέντρα.</w:t>
      </w:r>
    </w:p>
    <w:p w14:paraId="31B608BF" w14:textId="032CDE6D" w:rsidR="002C70FF" w:rsidRDefault="002C70FF" w:rsidP="009E3D3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Λαμβάνοντας υπόψη τις παραπάνω προτεραιότητες, τέθηκε ποσοτικός στόχος στο πλαίσιο του ΕΣΕΚ για μείωση </w:t>
      </w:r>
      <w:r w:rsidRPr="00AB2FF5">
        <w:rPr>
          <w:rFonts w:ascii="Calibri" w:hAnsi="Calibri" w:cs="Calibri"/>
          <w:sz w:val="22"/>
          <w:szCs w:val="22"/>
        </w:rPr>
        <w:t xml:space="preserve">κατά τουλάχιστον 50% των σχετικών δεικτών αποτύπωσης της ενεργειακής ένδειας μέχρι το </w:t>
      </w:r>
      <w:r>
        <w:rPr>
          <w:rFonts w:ascii="Calibri" w:hAnsi="Calibri" w:cs="Calibri"/>
          <w:sz w:val="22"/>
          <w:szCs w:val="22"/>
        </w:rPr>
        <w:t xml:space="preserve">έτος </w:t>
      </w:r>
      <w:r w:rsidRPr="00AB2FF5">
        <w:rPr>
          <w:rFonts w:ascii="Calibri" w:hAnsi="Calibri" w:cs="Calibri"/>
          <w:sz w:val="22"/>
          <w:szCs w:val="22"/>
        </w:rPr>
        <w:t xml:space="preserve">2025 </w:t>
      </w:r>
      <w:r>
        <w:rPr>
          <w:rFonts w:ascii="Calibri" w:hAnsi="Calibri" w:cs="Calibri"/>
          <w:sz w:val="22"/>
          <w:szCs w:val="22"/>
        </w:rPr>
        <w:t xml:space="preserve">και κατά </w:t>
      </w:r>
      <w:r w:rsidRPr="00AB2FF5">
        <w:rPr>
          <w:rFonts w:ascii="Calibri" w:hAnsi="Calibri" w:cs="Calibri"/>
          <w:sz w:val="22"/>
          <w:szCs w:val="22"/>
        </w:rPr>
        <w:t>75%</w:t>
      </w:r>
      <w:r>
        <w:rPr>
          <w:rFonts w:ascii="Calibri" w:hAnsi="Calibri" w:cs="Calibri"/>
          <w:sz w:val="22"/>
          <w:szCs w:val="22"/>
        </w:rPr>
        <w:t xml:space="preserve"> μέχρι το έτος 2030 </w:t>
      </w:r>
      <w:r w:rsidRPr="00AB2FF5">
        <w:rPr>
          <w:rFonts w:ascii="Calibri" w:hAnsi="Calibri" w:cs="Calibri"/>
          <w:sz w:val="22"/>
          <w:szCs w:val="22"/>
        </w:rPr>
        <w:t xml:space="preserve">σε σχέση με το </w:t>
      </w:r>
      <w:r>
        <w:rPr>
          <w:rFonts w:ascii="Calibri" w:hAnsi="Calibri" w:cs="Calibri"/>
          <w:sz w:val="22"/>
          <w:szCs w:val="22"/>
        </w:rPr>
        <w:t xml:space="preserve">έτος </w:t>
      </w:r>
      <w:r w:rsidRPr="00AB2FF5">
        <w:rPr>
          <w:rFonts w:ascii="Calibri" w:hAnsi="Calibri" w:cs="Calibri"/>
          <w:sz w:val="22"/>
          <w:szCs w:val="22"/>
        </w:rPr>
        <w:t>2016</w:t>
      </w:r>
      <w:r>
        <w:rPr>
          <w:rFonts w:ascii="Calibri" w:hAnsi="Calibri" w:cs="Calibri"/>
          <w:sz w:val="22"/>
          <w:szCs w:val="22"/>
        </w:rPr>
        <w:t xml:space="preserve">, το οποίο αποτελεί και το έτος βάσης αναφοράς (Διάγραμμα </w:t>
      </w:r>
      <w:r w:rsidR="00F027FB">
        <w:rPr>
          <w:rFonts w:ascii="Calibri" w:hAnsi="Calibri" w:cs="Calibri"/>
          <w:sz w:val="22"/>
          <w:szCs w:val="22"/>
        </w:rPr>
        <w:t>3</w:t>
      </w:r>
      <w:r>
        <w:rPr>
          <w:rFonts w:ascii="Calibri" w:hAnsi="Calibri" w:cs="Calibri"/>
          <w:sz w:val="22"/>
          <w:szCs w:val="22"/>
        </w:rPr>
        <w:t>).</w:t>
      </w:r>
    </w:p>
    <w:p w14:paraId="31B608C0" w14:textId="744E89D1" w:rsidR="002C70FF" w:rsidRPr="000D5C7F" w:rsidRDefault="00817AB5" w:rsidP="005A6FEF">
      <w:pPr>
        <w:pStyle w:val="a7"/>
        <w:spacing w:before="120" w:after="120"/>
        <w:jc w:val="center"/>
        <w:rPr>
          <w:b w:val="0"/>
          <w:bCs w:val="0"/>
          <w:i/>
          <w:iCs/>
          <w:color w:val="auto"/>
          <w:sz w:val="22"/>
          <w:szCs w:val="22"/>
        </w:rPr>
      </w:pPr>
      <w:r>
        <w:rPr>
          <w:noProof/>
          <w:color w:val="auto"/>
          <w:sz w:val="22"/>
          <w:szCs w:val="22"/>
        </w:rPr>
        <w:lastRenderedPageBreak/>
        <w:drawing>
          <wp:inline distT="0" distB="0" distL="0" distR="0" wp14:anchorId="7538C016" wp14:editId="531FA6F7">
            <wp:extent cx="5427980" cy="3259667"/>
            <wp:effectExtent l="0" t="0" r="20320" b="0"/>
            <wp:docPr id="1223091398"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2C70FF" w:rsidRPr="00901B69">
        <w:rPr>
          <w:color w:val="auto"/>
          <w:sz w:val="22"/>
          <w:szCs w:val="22"/>
        </w:rPr>
        <w:t>Διάγραμμα</w:t>
      </w:r>
      <w:r w:rsidR="002C70FF" w:rsidRPr="00BA1B6F">
        <w:rPr>
          <w:color w:val="auto"/>
          <w:sz w:val="22"/>
          <w:szCs w:val="22"/>
        </w:rPr>
        <w:t xml:space="preserve"> </w:t>
      </w:r>
      <w:r w:rsidR="007D1663" w:rsidRPr="00BA1B6F">
        <w:rPr>
          <w:color w:val="auto"/>
          <w:sz w:val="22"/>
          <w:szCs w:val="22"/>
        </w:rPr>
        <w:fldChar w:fldCharType="begin"/>
      </w:r>
      <w:r w:rsidR="002C70FF" w:rsidRPr="00BA1B6F">
        <w:rPr>
          <w:color w:val="auto"/>
          <w:sz w:val="22"/>
          <w:szCs w:val="22"/>
        </w:rPr>
        <w:instrText xml:space="preserve"> </w:instrText>
      </w:r>
      <w:r w:rsidR="002C70FF" w:rsidRPr="00901B69">
        <w:rPr>
          <w:color w:val="auto"/>
          <w:sz w:val="22"/>
          <w:szCs w:val="22"/>
        </w:rPr>
        <w:instrText>SEQ</w:instrText>
      </w:r>
      <w:r w:rsidR="002C70FF" w:rsidRPr="00BA1B6F">
        <w:rPr>
          <w:color w:val="auto"/>
          <w:sz w:val="22"/>
          <w:szCs w:val="22"/>
        </w:rPr>
        <w:instrText xml:space="preserve"> </w:instrText>
      </w:r>
      <w:r w:rsidR="002C70FF" w:rsidRPr="00901B69">
        <w:rPr>
          <w:color w:val="auto"/>
          <w:sz w:val="22"/>
          <w:szCs w:val="22"/>
        </w:rPr>
        <w:instrText>Figure</w:instrText>
      </w:r>
      <w:r w:rsidR="002C70FF" w:rsidRPr="00BA1B6F">
        <w:rPr>
          <w:color w:val="auto"/>
          <w:sz w:val="22"/>
          <w:szCs w:val="22"/>
        </w:rPr>
        <w:instrText xml:space="preserve"> \* </w:instrText>
      </w:r>
      <w:r w:rsidR="002C70FF" w:rsidRPr="00901B69">
        <w:rPr>
          <w:color w:val="auto"/>
          <w:sz w:val="22"/>
          <w:szCs w:val="22"/>
        </w:rPr>
        <w:instrText>ARABIC</w:instrText>
      </w:r>
      <w:r w:rsidR="002C70FF" w:rsidRPr="00BA1B6F">
        <w:rPr>
          <w:color w:val="auto"/>
          <w:sz w:val="22"/>
          <w:szCs w:val="22"/>
        </w:rPr>
        <w:instrText xml:space="preserve"> </w:instrText>
      </w:r>
      <w:r w:rsidR="007D1663" w:rsidRPr="00BA1B6F">
        <w:rPr>
          <w:color w:val="auto"/>
          <w:sz w:val="22"/>
          <w:szCs w:val="22"/>
        </w:rPr>
        <w:fldChar w:fldCharType="separate"/>
      </w:r>
      <w:r w:rsidR="00CA1053">
        <w:rPr>
          <w:noProof/>
          <w:color w:val="auto"/>
          <w:sz w:val="22"/>
          <w:szCs w:val="22"/>
        </w:rPr>
        <w:t>3</w:t>
      </w:r>
      <w:r w:rsidR="007D1663" w:rsidRPr="00BA1B6F">
        <w:rPr>
          <w:color w:val="auto"/>
          <w:sz w:val="22"/>
          <w:szCs w:val="22"/>
        </w:rPr>
        <w:fldChar w:fldCharType="end"/>
      </w:r>
      <w:r w:rsidR="002C70FF" w:rsidRPr="00BA1B6F">
        <w:rPr>
          <w:color w:val="auto"/>
          <w:sz w:val="22"/>
          <w:szCs w:val="22"/>
        </w:rPr>
        <w:t>:</w:t>
      </w:r>
      <w:r w:rsidR="002C70FF">
        <w:rPr>
          <w:color w:val="auto"/>
          <w:sz w:val="22"/>
          <w:szCs w:val="22"/>
        </w:rPr>
        <w:t xml:space="preserve"> Στόχοι μείωσης φαινομένου ενεργειακής ένδειας στο πλαίσιο του ΕΣΕΚ</w:t>
      </w:r>
      <w:r w:rsidR="00F027FB">
        <w:rPr>
          <w:color w:val="auto"/>
          <w:sz w:val="22"/>
          <w:szCs w:val="22"/>
        </w:rPr>
        <w:t xml:space="preserve"> (2024)</w:t>
      </w:r>
      <w:r w:rsidR="002C70FF" w:rsidRPr="003C73E4">
        <w:rPr>
          <w:color w:val="auto"/>
          <w:sz w:val="22"/>
          <w:szCs w:val="22"/>
        </w:rPr>
        <w:t>.</w:t>
      </w:r>
    </w:p>
    <w:p w14:paraId="31B608C1" w14:textId="77777777" w:rsidR="002C70FF" w:rsidRPr="005A6FEF" w:rsidRDefault="002C70FF" w:rsidP="009E3D34">
      <w:pPr>
        <w:pStyle w:val="Web"/>
        <w:spacing w:before="120" w:beforeAutospacing="0" w:after="120" w:afterAutospacing="0" w:line="276" w:lineRule="auto"/>
        <w:jc w:val="both"/>
        <w:rPr>
          <w:rFonts w:ascii="Calibri" w:hAnsi="Calibri" w:cs="Calibri"/>
          <w:sz w:val="22"/>
          <w:szCs w:val="22"/>
        </w:rPr>
      </w:pPr>
    </w:p>
    <w:p w14:paraId="31B608C2" w14:textId="01ED29BE" w:rsidR="002C70FF" w:rsidRDefault="002C70FF" w:rsidP="00CC7ADF">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Η επίτευξη των συγκεκριμένων στόχων </w:t>
      </w:r>
      <w:r w:rsidR="007060BF">
        <w:rPr>
          <w:rFonts w:ascii="Calibri" w:hAnsi="Calibri" w:cs="Calibri"/>
          <w:sz w:val="22"/>
          <w:szCs w:val="22"/>
        </w:rPr>
        <w:t xml:space="preserve">εκτιμάται ότι </w:t>
      </w:r>
      <w:r>
        <w:rPr>
          <w:rFonts w:ascii="Calibri" w:hAnsi="Calibri" w:cs="Calibri"/>
          <w:sz w:val="22"/>
          <w:szCs w:val="22"/>
        </w:rPr>
        <w:t xml:space="preserve">θα πραγματοποιηθεί με το σχεδιασμό και την εφαρμογή μέτρων </w:t>
      </w:r>
      <w:r w:rsidR="00453F33">
        <w:rPr>
          <w:rFonts w:ascii="Calibri" w:hAnsi="Calibri" w:cs="Calibri"/>
          <w:sz w:val="22"/>
          <w:szCs w:val="22"/>
          <w:lang w:eastAsia="en-US"/>
        </w:rPr>
        <w:t>και πολιτικών</w:t>
      </w:r>
      <w:r>
        <w:rPr>
          <w:rFonts w:ascii="Calibri" w:hAnsi="Calibri" w:cs="Calibri"/>
          <w:sz w:val="22"/>
          <w:szCs w:val="22"/>
        </w:rPr>
        <w:t xml:space="preserve">, τα οποία </w:t>
      </w:r>
      <w:r w:rsidR="005629E5">
        <w:rPr>
          <w:rFonts w:ascii="Calibri" w:hAnsi="Calibri" w:cs="Calibri"/>
          <w:sz w:val="22"/>
          <w:szCs w:val="22"/>
        </w:rPr>
        <w:t>εξειδικεύονται</w:t>
      </w:r>
      <w:r>
        <w:rPr>
          <w:rFonts w:ascii="Calibri" w:hAnsi="Calibri" w:cs="Calibri"/>
          <w:sz w:val="22"/>
          <w:szCs w:val="22"/>
        </w:rPr>
        <w:t xml:space="preserve"> στο πλαίσιο του </w:t>
      </w:r>
      <w:r w:rsidR="009B1F37">
        <w:rPr>
          <w:rFonts w:ascii="Calibri" w:hAnsi="Calibri" w:cs="Calibri"/>
          <w:sz w:val="22"/>
          <w:szCs w:val="22"/>
        </w:rPr>
        <w:t xml:space="preserve">παρόντος </w:t>
      </w:r>
      <w:r>
        <w:rPr>
          <w:rFonts w:ascii="Calibri" w:hAnsi="Calibri" w:cs="Calibri"/>
          <w:sz w:val="22"/>
          <w:szCs w:val="22"/>
        </w:rPr>
        <w:t>Σχεδίου Δράσης.</w:t>
      </w:r>
    </w:p>
    <w:p w14:paraId="31B608C5" w14:textId="1AF0F378" w:rsidR="002C70FF" w:rsidRPr="009E0805" w:rsidRDefault="0056611A" w:rsidP="009E3D3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Ουσιαστικός κρίνεται ο ρόλος</w:t>
      </w:r>
      <w:r w:rsidR="002C70FF">
        <w:rPr>
          <w:rFonts w:ascii="Calibri" w:hAnsi="Calibri" w:cs="Calibri"/>
          <w:sz w:val="22"/>
          <w:szCs w:val="22"/>
        </w:rPr>
        <w:t xml:space="preserve"> μέτρων </w:t>
      </w:r>
      <w:r w:rsidR="009B1F37">
        <w:rPr>
          <w:rFonts w:ascii="Calibri" w:hAnsi="Calibri" w:cs="Calibri"/>
          <w:sz w:val="22"/>
          <w:szCs w:val="22"/>
        </w:rPr>
        <w:t>για</w:t>
      </w:r>
      <w:r w:rsidR="002C70FF" w:rsidRPr="000445A6">
        <w:rPr>
          <w:rFonts w:ascii="Calibri" w:hAnsi="Calibri" w:cs="Calibri"/>
          <w:sz w:val="22"/>
          <w:szCs w:val="22"/>
        </w:rPr>
        <w:t xml:space="preserve"> την προώθηση δράσεων ανακαίνισης κτιρίων μέσω προγραμμάτων</w:t>
      </w:r>
      <w:r w:rsidR="009B1F37">
        <w:rPr>
          <w:rFonts w:ascii="Calibri" w:hAnsi="Calibri" w:cs="Calibri"/>
          <w:sz w:val="22"/>
          <w:szCs w:val="22"/>
        </w:rPr>
        <w:t xml:space="preserve"> χρηματοδότησης</w:t>
      </w:r>
      <w:r w:rsidR="002C70FF" w:rsidRPr="000445A6">
        <w:rPr>
          <w:rFonts w:ascii="Calibri" w:hAnsi="Calibri" w:cs="Calibri"/>
          <w:sz w:val="22"/>
          <w:szCs w:val="22"/>
        </w:rPr>
        <w:t>, με ειδικές κατηγορίες επιδοτήσεων για τα οικονομικά ασθενέστερα τμήματα του πληθυσμού</w:t>
      </w:r>
      <w:r w:rsidR="009B1F37">
        <w:rPr>
          <w:rFonts w:ascii="Calibri" w:hAnsi="Calibri" w:cs="Calibri"/>
          <w:sz w:val="22"/>
          <w:szCs w:val="22"/>
        </w:rPr>
        <w:t>,</w:t>
      </w:r>
      <w:r w:rsidR="002C70FF" w:rsidRPr="000445A6">
        <w:rPr>
          <w:rFonts w:ascii="Calibri" w:hAnsi="Calibri" w:cs="Calibri"/>
          <w:sz w:val="22"/>
          <w:szCs w:val="22"/>
        </w:rPr>
        <w:t xml:space="preserve"> </w:t>
      </w:r>
      <w:r w:rsidR="002C70FF">
        <w:rPr>
          <w:rFonts w:ascii="Calibri" w:hAnsi="Calibri" w:cs="Calibri"/>
          <w:sz w:val="22"/>
          <w:szCs w:val="22"/>
        </w:rPr>
        <w:t xml:space="preserve">καθώς </w:t>
      </w:r>
      <w:r w:rsidR="002C70FF" w:rsidRPr="000445A6">
        <w:rPr>
          <w:rFonts w:ascii="Calibri" w:hAnsi="Calibri" w:cs="Calibri"/>
          <w:sz w:val="22"/>
          <w:szCs w:val="22"/>
        </w:rPr>
        <w:t>και προγραμμάτων</w:t>
      </w:r>
      <w:r w:rsidR="009B1F37">
        <w:rPr>
          <w:rFonts w:ascii="Calibri" w:hAnsi="Calibri" w:cs="Calibri"/>
          <w:sz w:val="22"/>
          <w:szCs w:val="22"/>
        </w:rPr>
        <w:t xml:space="preserve"> προώθησης της</w:t>
      </w:r>
      <w:r w:rsidR="002C70FF" w:rsidRPr="000445A6">
        <w:rPr>
          <w:rFonts w:ascii="Calibri" w:hAnsi="Calibri" w:cs="Calibri"/>
          <w:sz w:val="22"/>
          <w:szCs w:val="22"/>
        </w:rPr>
        <w:t xml:space="preserve"> αυτοπαραγωγής, </w:t>
      </w:r>
      <w:r w:rsidR="002C70FF">
        <w:rPr>
          <w:rFonts w:ascii="Calibri" w:hAnsi="Calibri" w:cs="Calibri"/>
          <w:sz w:val="22"/>
          <w:szCs w:val="22"/>
        </w:rPr>
        <w:t>τα οποία</w:t>
      </w:r>
      <w:r w:rsidR="002C70FF" w:rsidRPr="000445A6">
        <w:rPr>
          <w:rFonts w:ascii="Calibri" w:hAnsi="Calibri" w:cs="Calibri"/>
          <w:sz w:val="22"/>
          <w:szCs w:val="22"/>
        </w:rPr>
        <w:t xml:space="preserve"> εκτιμάται ότι θα συμβάλουν </w:t>
      </w:r>
      <w:r w:rsidR="002C70FF">
        <w:rPr>
          <w:rFonts w:ascii="Calibri" w:hAnsi="Calibri" w:cs="Calibri"/>
          <w:sz w:val="22"/>
          <w:szCs w:val="22"/>
        </w:rPr>
        <w:t>στον μετριασμό</w:t>
      </w:r>
      <w:r w:rsidR="002C70FF" w:rsidRPr="000445A6">
        <w:rPr>
          <w:rFonts w:ascii="Calibri" w:hAnsi="Calibri" w:cs="Calibri"/>
          <w:sz w:val="22"/>
          <w:szCs w:val="22"/>
        </w:rPr>
        <w:t xml:space="preserve"> του φαινομένου της ενεργειακής ένδειας </w:t>
      </w:r>
      <w:r w:rsidR="00734010">
        <w:rPr>
          <w:rFonts w:ascii="Calibri" w:hAnsi="Calibri" w:cs="Calibri"/>
          <w:sz w:val="22"/>
          <w:szCs w:val="22"/>
        </w:rPr>
        <w:t xml:space="preserve">με </w:t>
      </w:r>
      <w:r w:rsidR="002C70FF">
        <w:rPr>
          <w:rFonts w:ascii="Calibri" w:hAnsi="Calibri" w:cs="Calibri"/>
          <w:sz w:val="22"/>
          <w:szCs w:val="22"/>
        </w:rPr>
        <w:t xml:space="preserve"> περιορισμό</w:t>
      </w:r>
      <w:r w:rsidR="002C70FF" w:rsidRPr="000445A6">
        <w:rPr>
          <w:rFonts w:ascii="Calibri" w:hAnsi="Calibri" w:cs="Calibri"/>
          <w:sz w:val="22"/>
          <w:szCs w:val="22"/>
        </w:rPr>
        <w:t xml:space="preserve"> της ανάγκης για </w:t>
      </w:r>
      <w:r w:rsidR="009B1F37">
        <w:rPr>
          <w:rFonts w:ascii="Calibri" w:hAnsi="Calibri" w:cs="Calibri"/>
          <w:sz w:val="22"/>
          <w:szCs w:val="22"/>
        </w:rPr>
        <w:t xml:space="preserve">άμεση εισοδηματική </w:t>
      </w:r>
      <w:r w:rsidR="002C70FF" w:rsidRPr="000445A6">
        <w:rPr>
          <w:rFonts w:ascii="Calibri" w:hAnsi="Calibri" w:cs="Calibri"/>
          <w:sz w:val="22"/>
          <w:szCs w:val="22"/>
        </w:rPr>
        <w:t xml:space="preserve">ενίσχυση των πολιτών μέσω των τιμολογίων </w:t>
      </w:r>
      <w:r w:rsidR="002C70FF" w:rsidRPr="009E0805">
        <w:rPr>
          <w:rFonts w:ascii="Calibri" w:hAnsi="Calibri" w:cs="Calibri"/>
          <w:sz w:val="22"/>
          <w:szCs w:val="22"/>
        </w:rPr>
        <w:t>ενεργειακών προϊόντων.</w:t>
      </w:r>
    </w:p>
    <w:p w14:paraId="78E29458" w14:textId="77777777" w:rsidR="00E11323" w:rsidRDefault="002C70FF" w:rsidP="00E11323">
      <w:pPr>
        <w:pStyle w:val="Web"/>
        <w:spacing w:before="120" w:beforeAutospacing="0" w:after="120" w:afterAutospacing="0" w:line="276" w:lineRule="auto"/>
        <w:jc w:val="both"/>
        <w:rPr>
          <w:rFonts w:ascii="Calibri" w:hAnsi="Calibri" w:cs="Calibri"/>
          <w:sz w:val="22"/>
          <w:szCs w:val="22"/>
        </w:rPr>
      </w:pPr>
      <w:r w:rsidRPr="009E0805">
        <w:rPr>
          <w:rFonts w:ascii="Calibri" w:hAnsi="Calibri" w:cs="Calibri"/>
          <w:sz w:val="22"/>
          <w:szCs w:val="22"/>
        </w:rPr>
        <w:t>Τέλος, η προώθηση μέτρων για την ενεργειακή αναβάθμιση των κτιρίων κατοικίας των πληττόμενων νοικοκυριών</w:t>
      </w:r>
      <w:r w:rsidR="009B1F37">
        <w:rPr>
          <w:rFonts w:ascii="Calibri" w:hAnsi="Calibri" w:cs="Calibri"/>
          <w:sz w:val="22"/>
          <w:szCs w:val="22"/>
        </w:rPr>
        <w:t xml:space="preserve"> αναμένεται να</w:t>
      </w:r>
      <w:r w:rsidRPr="009E0805">
        <w:rPr>
          <w:rFonts w:ascii="Calibri" w:hAnsi="Calibri" w:cs="Calibri"/>
          <w:sz w:val="22"/>
          <w:szCs w:val="22"/>
        </w:rPr>
        <w:t xml:space="preserve"> συμβάλει στον εθνικό στόχο που έχει τεθεί αναφορικά με την </w:t>
      </w:r>
      <w:r w:rsidR="009E0805" w:rsidRPr="009E0805">
        <w:rPr>
          <w:rFonts w:ascii="Calibri" w:hAnsi="Calibri" w:cs="Calibri"/>
          <w:sz w:val="22"/>
          <w:szCs w:val="22"/>
        </w:rPr>
        <w:t>επίτευξη ετήσιου ρυθμού ανακαίνισης κτιρίων κατοικίας της τάξεως των 68 χιλιάδων ανακαινίσεων την περίοδο 2025-2030.</w:t>
      </w:r>
    </w:p>
    <w:p w14:paraId="70A532F9" w14:textId="77777777" w:rsidR="00E11323" w:rsidRDefault="00E11323" w:rsidP="00E11323">
      <w:pPr>
        <w:pStyle w:val="Web"/>
        <w:spacing w:before="120" w:beforeAutospacing="0" w:after="120" w:afterAutospacing="0" w:line="276" w:lineRule="auto"/>
        <w:jc w:val="both"/>
        <w:rPr>
          <w:rFonts w:ascii="Calibri" w:hAnsi="Calibri" w:cs="Calibri"/>
          <w:sz w:val="22"/>
          <w:szCs w:val="22"/>
        </w:rPr>
      </w:pPr>
    </w:p>
    <w:p w14:paraId="31B608CA" w14:textId="2761DE98" w:rsidR="002C70FF" w:rsidRPr="004876A5" w:rsidRDefault="009278FE" w:rsidP="00E11323">
      <w:pPr>
        <w:pStyle w:val="1"/>
        <w:numPr>
          <w:ilvl w:val="0"/>
          <w:numId w:val="1"/>
        </w:numPr>
        <w:spacing w:before="240" w:after="240"/>
        <w:rPr>
          <w:rFonts w:ascii="Calibri" w:hAnsi="Calibri" w:cs="Calibri"/>
          <w:color w:val="002060"/>
        </w:rPr>
      </w:pPr>
      <w:bookmarkStart w:id="7" w:name="_Toc214271395"/>
      <w:r>
        <w:rPr>
          <w:rFonts w:ascii="Calibri" w:hAnsi="Calibri" w:cs="Calibri"/>
          <w:color w:val="002060"/>
        </w:rPr>
        <w:t>Εθνικός ορισμός ενεργειακής ένδειας</w:t>
      </w:r>
      <w:bookmarkEnd w:id="7"/>
    </w:p>
    <w:p w14:paraId="173605D7" w14:textId="7BA48C0F" w:rsidR="00CA7DCE" w:rsidRDefault="00CA7DCE" w:rsidP="00CA7DCE">
      <w:pPr>
        <w:spacing w:before="120" w:after="120"/>
        <w:jc w:val="both"/>
      </w:pPr>
      <w:r>
        <w:t xml:space="preserve">Σύμφωνα με </w:t>
      </w:r>
      <w:r w:rsidR="00925A8C">
        <w:t>την</w:t>
      </w:r>
      <w:r>
        <w:t xml:space="preserve"> Οδηγία 2023/1791/ΕΕ</w:t>
      </w:r>
      <w:r w:rsidR="00E64A0D">
        <w:t>,</w:t>
      </w:r>
      <w:r>
        <w:t xml:space="preserve"> </w:t>
      </w:r>
      <w:r w:rsidRPr="00F406D9">
        <w:t>ενεργειακή φτώχεια</w:t>
      </w:r>
      <w:r>
        <w:t xml:space="preserve"> είναι </w:t>
      </w:r>
      <w:r w:rsidRPr="00F406D9">
        <w:t xml:space="preserve">η έλλειψη πρόσβασης ενός νοικοκυριού σε απαραίτητες ενεργειακές υπηρεσίες, όταν οι εν λόγω υπηρεσίες παρέχουν βασικά επίπεδα και αξιοπρεπή πρότυπα διαβίωσης και υγείας, συμπεριλαμβανομένων της επαρκούς θέρμανσης, του ζεστού νερού, της ψύξης, του φωτισμού και της ενέργειας τροφοδοσίας ηλεκτρικών συσκευών στο σχετικό εθνικό πλαίσιο, την υφιστάμενη εθνική κοινωνική πολιτική και άλλες σχετικές εθνικές πολιτικές, η οποία προκαλείται από συνδυασμό παραγόντων, συμπεριλαμβανομένων, τουλάχιστον, της οικονομικής αδυναμίας, του </w:t>
      </w:r>
      <w:r w:rsidRPr="00F406D9">
        <w:lastRenderedPageBreak/>
        <w:t>ανεπαρκούς διαθέσιμου εισοδήματος, των υψηλών ενεργειακών δαπανών και της χαμηλής ενεργειακής απόδοσης των κατοικιών</w:t>
      </w:r>
      <w:r>
        <w:t>.</w:t>
      </w:r>
    </w:p>
    <w:p w14:paraId="751EEFA3" w14:textId="77777777" w:rsidR="00CA1053" w:rsidRDefault="00CA1053" w:rsidP="00CA7DCE">
      <w:pPr>
        <w:spacing w:before="120" w:after="120"/>
        <w:jc w:val="both"/>
      </w:pPr>
    </w:p>
    <w:p w14:paraId="305856AE" w14:textId="69310760" w:rsidR="0007503E" w:rsidRDefault="0007503E" w:rsidP="0007503E">
      <w:pPr>
        <w:pStyle w:val="1"/>
        <w:numPr>
          <w:ilvl w:val="1"/>
          <w:numId w:val="1"/>
        </w:numPr>
        <w:spacing w:before="240" w:after="240"/>
      </w:pPr>
      <w:bookmarkStart w:id="8" w:name="_Toc214271396"/>
      <w:r>
        <w:rPr>
          <w:rFonts w:ascii="Calibri" w:hAnsi="Calibri" w:cs="Calibri"/>
          <w:color w:val="002060"/>
        </w:rPr>
        <w:t>Αρχική</w:t>
      </w:r>
      <w:r w:rsidRPr="0007503E">
        <w:rPr>
          <w:rFonts w:ascii="Calibri" w:hAnsi="Calibri" w:cs="Calibri"/>
          <w:color w:val="002060"/>
        </w:rPr>
        <w:t xml:space="preserve"> Προσέγγιση για τον εντοπισμό των πληττόμενων νοικοκυριών</w:t>
      </w:r>
      <w:bookmarkEnd w:id="8"/>
    </w:p>
    <w:p w14:paraId="31B608CC" w14:textId="4E5DD770" w:rsidR="002C70FF" w:rsidRPr="00E64A0D" w:rsidRDefault="0039080D" w:rsidP="00EB2197">
      <w:pPr>
        <w:spacing w:before="120" w:after="120"/>
        <w:jc w:val="both"/>
      </w:pPr>
      <w:r>
        <w:t xml:space="preserve">Στην πρώτη έκδοση του </w:t>
      </w:r>
      <w:r w:rsidR="002008BE">
        <w:t xml:space="preserve">Σχεδίου Δράσης </w:t>
      </w:r>
      <w:r>
        <w:t xml:space="preserve">ο </w:t>
      </w:r>
      <w:r w:rsidR="002C70FF">
        <w:t xml:space="preserve">προσδιορισμός των </w:t>
      </w:r>
      <w:r w:rsidR="00925A8C">
        <w:t xml:space="preserve">ενεργειακά φτωχών </w:t>
      </w:r>
      <w:r w:rsidR="002C70FF">
        <w:t xml:space="preserve">νοικοκυριών </w:t>
      </w:r>
      <w:r w:rsidR="00F371B8">
        <w:t>πραγματοποιήθηκε</w:t>
      </w:r>
      <w:r w:rsidR="002C70FF">
        <w:t xml:space="preserve"> μέσω του υπολογισμού ενός συνδυαστικού δείκτη, ο οποίος λαμβάνει υπόψη όσο το δυνατό περισσότερους παράγοντες σχετιζόμενους με το εξεταζόμενο φαινόμενο.</w:t>
      </w:r>
    </w:p>
    <w:p w14:paraId="0F01C884" w14:textId="264BA6D1" w:rsidR="00887F5D" w:rsidRDefault="0039080D" w:rsidP="00887F5D">
      <w:pPr>
        <w:spacing w:before="120" w:after="120"/>
        <w:jc w:val="both"/>
      </w:pPr>
      <w:r>
        <w:t>Πιο συγκεκριμένα,</w:t>
      </w:r>
      <w:r w:rsidR="00887F5D">
        <w:t xml:space="preserve"> επιλέχθηκε ο Δείκτης Ι-ΙΙ</w:t>
      </w:r>
      <w:r w:rsidRPr="00F371B8">
        <w:rPr>
          <w:vertAlign w:val="subscript"/>
          <w:lang w:val="en-US"/>
        </w:rPr>
        <w:t>eq</w:t>
      </w:r>
      <w:r w:rsidR="00887F5D">
        <w:t xml:space="preserve">, ο οποίος υπολογίζει τον αριθμό των νοικοκυριών, τα οποία πληρούν </w:t>
      </w:r>
      <w:r w:rsidR="00887F5D" w:rsidRPr="0077604D">
        <w:rPr>
          <w:u w:val="single"/>
        </w:rPr>
        <w:t>ταυτόχρονα κ</w:t>
      </w:r>
      <w:r w:rsidR="00887F5D" w:rsidRPr="00C6282B">
        <w:rPr>
          <w:u w:val="single"/>
        </w:rPr>
        <w:t xml:space="preserve">αι </w:t>
      </w:r>
      <w:r w:rsidR="00887F5D">
        <w:rPr>
          <w:u w:val="single"/>
        </w:rPr>
        <w:t>τις</w:t>
      </w:r>
      <w:r w:rsidR="00887F5D" w:rsidRPr="00C6282B">
        <w:rPr>
          <w:u w:val="single"/>
        </w:rPr>
        <w:t xml:space="preserve"> δυο ακόλουθες συνθήκες</w:t>
      </w:r>
      <w:r w:rsidR="00887F5D">
        <w:t>:</w:t>
      </w:r>
    </w:p>
    <w:p w14:paraId="52762E71" w14:textId="77777777" w:rsidR="00887F5D" w:rsidRPr="001A5A48" w:rsidRDefault="00887F5D" w:rsidP="00887F5D">
      <w:pPr>
        <w:pStyle w:val="a5"/>
        <w:numPr>
          <w:ilvl w:val="0"/>
          <w:numId w:val="7"/>
        </w:numPr>
        <w:spacing w:before="120" w:after="120"/>
        <w:jc w:val="both"/>
        <w:rPr>
          <w:i/>
          <w:iCs/>
        </w:rPr>
      </w:pPr>
      <w:r>
        <w:rPr>
          <w:i/>
          <w:iCs/>
        </w:rPr>
        <w:t>Το ετήσιο κόστος της</w:t>
      </w:r>
      <w:r w:rsidRPr="001A5A48">
        <w:rPr>
          <w:i/>
          <w:iCs/>
        </w:rPr>
        <w:t xml:space="preserve"> συνολική</w:t>
      </w:r>
      <w:r>
        <w:rPr>
          <w:i/>
          <w:iCs/>
        </w:rPr>
        <w:t>ς</w:t>
      </w:r>
      <w:r w:rsidRPr="001A5A48">
        <w:rPr>
          <w:i/>
          <w:iCs/>
        </w:rPr>
        <w:t xml:space="preserve"> κατανάλωση</w:t>
      </w:r>
      <w:r>
        <w:rPr>
          <w:i/>
          <w:iCs/>
        </w:rPr>
        <w:t>ς</w:t>
      </w:r>
      <w:r w:rsidRPr="001A5A48">
        <w:rPr>
          <w:i/>
          <w:iCs/>
        </w:rPr>
        <w:t xml:space="preserve"> ενέργειας κάθε νοικοκυριού να είναι χαμηλότερ</w:t>
      </w:r>
      <w:r>
        <w:rPr>
          <w:i/>
          <w:iCs/>
        </w:rPr>
        <w:t xml:space="preserve">ο </w:t>
      </w:r>
      <w:r w:rsidRPr="001A5A48">
        <w:rPr>
          <w:i/>
          <w:iCs/>
        </w:rPr>
        <w:t xml:space="preserve">από το 80% </w:t>
      </w:r>
      <w:r>
        <w:rPr>
          <w:i/>
          <w:iCs/>
        </w:rPr>
        <w:t>του ετήσιου κόστους του για την κάλυψη της</w:t>
      </w:r>
      <w:r w:rsidRPr="001A5A48">
        <w:rPr>
          <w:i/>
          <w:iCs/>
        </w:rPr>
        <w:t xml:space="preserve"> ελάχιστης απαιτούμενης κατανάλωσης ενέργειας </w:t>
      </w:r>
      <w:r>
        <w:rPr>
          <w:i/>
          <w:iCs/>
        </w:rPr>
        <w:t>(Συνθήκη Ι</w:t>
      </w:r>
      <w:r w:rsidRPr="00D24652">
        <w:rPr>
          <w:i/>
          <w:iCs/>
        </w:rPr>
        <w:t>)</w:t>
      </w:r>
      <w:r w:rsidRPr="001A5A48">
        <w:rPr>
          <w:i/>
          <w:iCs/>
        </w:rPr>
        <w:t>.</w:t>
      </w:r>
    </w:p>
    <w:p w14:paraId="1AE091A0" w14:textId="55B0FA00" w:rsidR="00887F5D" w:rsidRPr="003A02E7" w:rsidRDefault="00887F5D" w:rsidP="00887F5D">
      <w:pPr>
        <w:pStyle w:val="a5"/>
        <w:numPr>
          <w:ilvl w:val="0"/>
          <w:numId w:val="7"/>
        </w:numPr>
        <w:spacing w:before="120" w:after="120"/>
        <w:jc w:val="both"/>
      </w:pPr>
      <w:r w:rsidRPr="003A02E7">
        <w:rPr>
          <w:i/>
          <w:iCs/>
        </w:rPr>
        <w:t xml:space="preserve">Το </w:t>
      </w:r>
      <w:r w:rsidRPr="00887F5D">
        <w:rPr>
          <w:i/>
          <w:iCs/>
        </w:rPr>
        <w:t>ανηγμένο καθαρό εισόδημα κάθε νοικοκυριού βάσει του ισοδύναμου αριθμού των ατόμων που ανήκουν σε κάθε νοικοκυριό σύμφωνα με την κλίμακα του ΟΟΣΑ</w:t>
      </w:r>
      <w:r w:rsidRPr="003A02E7">
        <w:rPr>
          <w:i/>
          <w:iCs/>
        </w:rPr>
        <w:t xml:space="preserve"> σε ετήσια βάση να είναι χαμηλότερο από το </w:t>
      </w:r>
      <w:r w:rsidRPr="0093384C">
        <w:rPr>
          <w:i/>
          <w:iCs/>
        </w:rPr>
        <w:t>60</w:t>
      </w:r>
      <w:r w:rsidRPr="003A02E7">
        <w:rPr>
          <w:i/>
          <w:iCs/>
        </w:rPr>
        <w:t xml:space="preserve">% της διαμέσου του αντίστοιχου εισοδήματος για το σύνολο των νοικοκυριών </w:t>
      </w:r>
      <w:r>
        <w:rPr>
          <w:i/>
          <w:iCs/>
        </w:rPr>
        <w:t xml:space="preserve">σύμφωνα με τον ορισμό της σχετικής φτώχειας </w:t>
      </w:r>
      <w:r w:rsidRPr="003A02E7">
        <w:rPr>
          <w:i/>
          <w:iCs/>
        </w:rPr>
        <w:t>(Συνθήκη ΙΙ</w:t>
      </w:r>
      <w:r w:rsidRPr="00F371B8">
        <w:rPr>
          <w:i/>
          <w:iCs/>
          <w:vertAlign w:val="subscript"/>
          <w:lang w:val="en-US"/>
        </w:rPr>
        <w:t>eq</w:t>
      </w:r>
      <w:r w:rsidRPr="003A02E7">
        <w:rPr>
          <w:i/>
          <w:iCs/>
        </w:rPr>
        <w:t>).</w:t>
      </w:r>
    </w:p>
    <w:p w14:paraId="7EA5EA8D" w14:textId="23E7BC31" w:rsidR="00887F5D" w:rsidRDefault="00887F5D" w:rsidP="00887F5D">
      <w:pPr>
        <w:spacing w:before="120" w:after="120"/>
        <w:jc w:val="both"/>
      </w:pPr>
      <w:r>
        <w:t>Η επιλογή της πρώτης συνθήκης πραγματοποιήθηκε</w:t>
      </w:r>
      <w:r w:rsidR="00E11323">
        <w:t>,</w:t>
      </w:r>
      <w:r>
        <w:t xml:space="preserve"> ώστε να ενσωματωθεί στον ορισμό της ενεργειακής ένδειας η δυνατότητα κάθε νοικοκυριού να εξασφαλίσει ένα ελάχιστο επίπεδο κάλυψης ενεργειακών αναγκών, το οποίο απαιτείται για τη διαβίωσ</w:t>
      </w:r>
      <w:r w:rsidR="00E11323">
        <w:t>ή</w:t>
      </w:r>
      <w:r>
        <w:t xml:space="preserve"> του. Ωστόσο, το φαινόμενο της ενεργειακής ένδειας επηρεάζεται και από το διαθέσιμο εισόδημα των νοικοκυριών. Συνεπώς, η χρήση της δεύτερης συνθήκης διασφαλίζει ότι η αδυναμία κάλυψης ενός ελάχιστου επιπέδου ενεργειακών αναγκών οφείλεται μεταξύ άλλων και στο χαμηλότερο καθαρό εισόδημα, το οποίο ενδεχομένως έχει το νοικοκυριό.</w:t>
      </w:r>
      <w:r w:rsidR="00192F08" w:rsidRPr="00A7366F">
        <w:t xml:space="preserve"> </w:t>
      </w:r>
      <w:r w:rsidR="002008BE">
        <w:t>Επομένως</w:t>
      </w:r>
      <w:r w:rsidRPr="00812B72">
        <w:t>, απαιτείται η συνεκτίμηση του διαθέσιμου εισοδήματος των νοικοκυριών</w:t>
      </w:r>
      <w:r w:rsidR="00E11323">
        <w:t>,</w:t>
      </w:r>
      <w:r w:rsidRPr="00812B72">
        <w:t xml:space="preserve"> ώστε να ληφθούν υπόψη και άλλοι παράγοντες, όπως ενδεικτικά είναι το σύνολο των περιουσιακών στοιχείων, τα τεκμήρια δαπανών διαβίωσης κ.</w:t>
      </w:r>
      <w:r w:rsidR="003D386D">
        <w:t>ά</w:t>
      </w:r>
      <w:r w:rsidRPr="00812B72">
        <w:t>.</w:t>
      </w:r>
    </w:p>
    <w:p w14:paraId="3E2428BF" w14:textId="1398F2DF" w:rsidR="00887F5D" w:rsidRPr="00B470F0" w:rsidRDefault="00887F5D" w:rsidP="00887F5D">
      <w:pPr>
        <w:spacing w:before="120" w:after="120"/>
        <w:jc w:val="both"/>
      </w:pPr>
      <w:r>
        <w:t>Επισημαίνεται ότι για την πρώτη συνθήκη προτιμήθηκε το κόστος της καταναλισκόμενης ενέργειας, ώστε να λαμβάνεται υπόψη και η εξέλιξη της τιμής των ενεργειακών προϊόντων που χρησιμοποιούνται από τα νοικοκυριά.</w:t>
      </w:r>
    </w:p>
    <w:p w14:paraId="31B608CD" w14:textId="4C3DBC14" w:rsidR="002C70FF" w:rsidRPr="000912EA" w:rsidRDefault="00F54FAA" w:rsidP="00EB2197">
      <w:pPr>
        <w:spacing w:before="120" w:after="120"/>
        <w:jc w:val="both"/>
      </w:pPr>
      <w:r>
        <w:t>Ο</w:t>
      </w:r>
      <w:r w:rsidR="002C70FF">
        <w:t xml:space="preserve"> προσδιορισμός του </w:t>
      </w:r>
      <w:r w:rsidR="0039080D">
        <w:t>Δείκτη Ι-ΙΙ</w:t>
      </w:r>
      <w:r w:rsidR="0039080D" w:rsidRPr="00F371B8">
        <w:rPr>
          <w:vertAlign w:val="subscript"/>
          <w:lang w:val="en-US"/>
        </w:rPr>
        <w:t>eq</w:t>
      </w:r>
      <w:r w:rsidR="0039080D">
        <w:t xml:space="preserve"> </w:t>
      </w:r>
      <w:r w:rsidR="00C967E1">
        <w:t xml:space="preserve">βασίζεται </w:t>
      </w:r>
      <w:r w:rsidR="00F371B8">
        <w:t>στα δεδομένα</w:t>
      </w:r>
      <w:r>
        <w:t xml:space="preserve"> </w:t>
      </w:r>
      <w:r w:rsidR="002C70FF">
        <w:t xml:space="preserve">που συλλέγονται στο πλαίσιο </w:t>
      </w:r>
      <w:r>
        <w:t>της</w:t>
      </w:r>
      <w:r w:rsidR="002C70FF">
        <w:t xml:space="preserve"> Έρευνα</w:t>
      </w:r>
      <w:r>
        <w:t>ς</w:t>
      </w:r>
      <w:r w:rsidR="002C70FF">
        <w:t xml:space="preserve"> </w:t>
      </w:r>
      <w:r w:rsidR="002C70FF" w:rsidRPr="00EB2197">
        <w:t>Οικογενειακού Προϋπολογισμού</w:t>
      </w:r>
      <w:r w:rsidR="002C70FF">
        <w:t xml:space="preserve">, </w:t>
      </w:r>
      <w:r>
        <w:t>η οποία</w:t>
      </w:r>
      <w:r w:rsidR="002C70FF">
        <w:t xml:space="preserve"> διενεργ</w:t>
      </w:r>
      <w:r>
        <w:t>είται</w:t>
      </w:r>
      <w:r w:rsidR="002C70FF">
        <w:t xml:space="preserve"> από την </w:t>
      </w:r>
      <w:r w:rsidR="002C70FF" w:rsidRPr="00EB2197">
        <w:t>Ελληνική Στατιστική Αρχή</w:t>
      </w:r>
      <w:r w:rsidR="00C967E1" w:rsidRPr="00C967E1">
        <w:t xml:space="preserve"> </w:t>
      </w:r>
      <w:r w:rsidR="00C967E1">
        <w:t>σε ετήσια βάση</w:t>
      </w:r>
      <w:r w:rsidR="002C70FF" w:rsidRPr="00EB2197">
        <w:t>.</w:t>
      </w:r>
    </w:p>
    <w:p w14:paraId="31B608CE" w14:textId="6DAA2077" w:rsidR="002C70FF" w:rsidRDefault="00253D45" w:rsidP="00EB2197">
      <w:pPr>
        <w:spacing w:before="120" w:after="120"/>
        <w:jc w:val="both"/>
      </w:pPr>
      <w:r>
        <w:rPr>
          <w:lang w:val="en-US"/>
        </w:rPr>
        <w:t>O</w:t>
      </w:r>
      <w:r w:rsidR="0039080D">
        <w:t xml:space="preserve"> Δείκτης Ι-ΙΙ</w:t>
      </w:r>
      <w:r w:rsidR="0039080D" w:rsidRPr="00F371B8">
        <w:rPr>
          <w:vertAlign w:val="subscript"/>
          <w:lang w:val="en-US"/>
        </w:rPr>
        <w:t>eq</w:t>
      </w:r>
      <w:r w:rsidR="0039080D">
        <w:t xml:space="preserve"> </w:t>
      </w:r>
      <w:r w:rsidR="002C70FF">
        <w:t xml:space="preserve">ενσωματώνει τις παραμέτρους, οι οποίες προδιαγράφονται από την Οδηγία </w:t>
      </w:r>
      <w:r w:rsidR="002C70FF" w:rsidRPr="007A3009">
        <w:t>2019/944/EE</w:t>
      </w:r>
      <w:r w:rsidR="002C70FF">
        <w:t xml:space="preserve"> και αφορούν στο εισόδημα, στις δαπάνες για την αγορά ενεργειακών προϊόντων και στην ενεργειακή απόδοση των κτιρίων κατοικίας των νοικοκυριών.</w:t>
      </w:r>
    </w:p>
    <w:p w14:paraId="782BF6BB" w14:textId="189A1938" w:rsidR="00C967E1" w:rsidRDefault="00C967E1" w:rsidP="00EB2197">
      <w:pPr>
        <w:spacing w:before="120" w:after="120"/>
        <w:jc w:val="both"/>
      </w:pPr>
      <w:r w:rsidRPr="00C967E1">
        <w:t xml:space="preserve">Παρά τα πλεονεκτήματα του δείκτη παρακολούθησης της ενεργειακής </w:t>
      </w:r>
      <w:r>
        <w:t>ένδειας</w:t>
      </w:r>
      <w:r w:rsidRPr="00C967E1">
        <w:t xml:space="preserve"> που υιοθετήθηκε στο προηγούμενο Σχέδιο Δράσης, αναδείχθηκαν και σημαντικές αδυναμίες. Σε </w:t>
      </w:r>
      <w:r w:rsidRPr="00C967E1">
        <w:lastRenderedPageBreak/>
        <w:t>αυτές συμπεριλαμβάνοντα</w:t>
      </w:r>
      <w:r w:rsidR="00253D45">
        <w:t>ι</w:t>
      </w:r>
      <w:r w:rsidRPr="00C967E1">
        <w:t>: (α) το σύνθετο υπολογιστικό πλαίσιο για τον υπολογισμό των ελάχιστα απαιτούμενων ενεργειακών αναγκών των νοικοκυριών, (β) η εστίαση του δείκτη σε νοικοκυριά που υποκαταναλώνουν ενέργεια, αγνοώντας άλλα με υψηλές ενεργειακές δαπάνες, (</w:t>
      </w:r>
      <w:r>
        <w:t>γ</w:t>
      </w:r>
      <w:r w:rsidRPr="00C967E1">
        <w:t xml:space="preserve">) η σχετικότητα του εισοδηματικού κριτηρίου, που </w:t>
      </w:r>
      <w:r w:rsidR="00253D45">
        <w:t>δημιουργεί</w:t>
      </w:r>
      <w:r w:rsidR="00253D45" w:rsidRPr="00C967E1">
        <w:t xml:space="preserve"> </w:t>
      </w:r>
      <w:r w:rsidRPr="00C967E1">
        <w:t>δυσκολίες στον έλεγχο της αποτελεσματικότητας των εφαρμοζόμενων μέτρων και πολιτικών αντιμετώπισης του προβλήματος. Ως εκ τούτου</w:t>
      </w:r>
      <w:r w:rsidR="00253D45">
        <w:t>,</w:t>
      </w:r>
      <w:r w:rsidRPr="00C967E1">
        <w:t xml:space="preserve"> εξετάσθηκε η αναθεώρηση του δείκτη με στόχο την αποτελεσματικότερη και πληρέστερη παρακολούθηση του </w:t>
      </w:r>
      <w:r>
        <w:t>φαινομένου της ενεργειακής ένδειας</w:t>
      </w:r>
      <w:r w:rsidRPr="00C967E1">
        <w:t>.</w:t>
      </w:r>
    </w:p>
    <w:p w14:paraId="0B6AD99D" w14:textId="1D622D04" w:rsidR="0025542B" w:rsidRDefault="0025542B" w:rsidP="0025542B">
      <w:pPr>
        <w:spacing w:before="120" w:after="120"/>
        <w:jc w:val="both"/>
      </w:pPr>
      <w:r>
        <w:t xml:space="preserve">Η εξέταση διαφόρων σεναρίων για τη χρήση εναλλακτικών δεικτών </w:t>
      </w:r>
      <w:r w:rsidR="008B3EE6">
        <w:t>από την τεχνική ομάδα έργου με αρμοδιότητα την υποβολή προτάσεων στη Διυπουργική Επιτροπή για την Ενέργεια και το Κλίμα σε ζητήματα ενεργειακής ένδειας</w:t>
      </w:r>
      <w:r w:rsidR="00A7366F">
        <w:rPr>
          <w:rStyle w:val="ab"/>
        </w:rPr>
        <w:footnoteReference w:id="29"/>
      </w:r>
      <w:r w:rsidR="00A7366F">
        <w:t xml:space="preserve"> </w:t>
      </w:r>
      <w:r>
        <w:t xml:space="preserve">οδήγησε στην επιλογή ενός </w:t>
      </w:r>
      <w:r w:rsidR="00C967E1">
        <w:t xml:space="preserve">νέου </w:t>
      </w:r>
      <w:r>
        <w:t>συνδυαστικού δείκτη. Πιο συγκεκριμένα, επιλέχθηκε ο Δείκτης Ι-ΙΙ</w:t>
      </w:r>
      <w:r w:rsidR="001E5759" w:rsidRPr="00A64EB1">
        <w:rPr>
          <w:vertAlign w:val="subscript"/>
        </w:rPr>
        <w:t>2025</w:t>
      </w:r>
      <w:r>
        <w:t xml:space="preserve">, ο οποίος υπολογίζει τον αριθμό των νοικοκυριών, τα οποία πληρούν </w:t>
      </w:r>
      <w:r w:rsidRPr="0077604D">
        <w:rPr>
          <w:u w:val="single"/>
        </w:rPr>
        <w:t>ταυτόχρονα κ</w:t>
      </w:r>
      <w:r w:rsidRPr="00C6282B">
        <w:rPr>
          <w:u w:val="single"/>
        </w:rPr>
        <w:t xml:space="preserve">αι </w:t>
      </w:r>
      <w:r>
        <w:rPr>
          <w:u w:val="single"/>
        </w:rPr>
        <w:t>τις</w:t>
      </w:r>
      <w:r w:rsidRPr="00C6282B">
        <w:rPr>
          <w:u w:val="single"/>
        </w:rPr>
        <w:t xml:space="preserve"> δυο ακόλουθες συνθήκες</w:t>
      </w:r>
      <w:r>
        <w:t>:</w:t>
      </w:r>
    </w:p>
    <w:p w14:paraId="1D2B0027" w14:textId="0C2B5AA7" w:rsidR="0025542B" w:rsidRPr="001A5A48" w:rsidRDefault="0025542B" w:rsidP="0025542B">
      <w:pPr>
        <w:pStyle w:val="a5"/>
        <w:numPr>
          <w:ilvl w:val="0"/>
          <w:numId w:val="7"/>
        </w:numPr>
        <w:spacing w:before="120" w:after="120"/>
        <w:jc w:val="both"/>
        <w:rPr>
          <w:i/>
          <w:iCs/>
        </w:rPr>
      </w:pPr>
      <w:r>
        <w:rPr>
          <w:i/>
          <w:iCs/>
        </w:rPr>
        <w:t xml:space="preserve">Οι εύλογες δαπάνες διαβίωσης του νοικοκυριού βάσει της </w:t>
      </w:r>
      <w:r w:rsidR="00430BD2">
        <w:rPr>
          <w:i/>
          <w:iCs/>
        </w:rPr>
        <w:t>σύνθεσής</w:t>
      </w:r>
      <w:r w:rsidR="00D67486">
        <w:rPr>
          <w:i/>
          <w:iCs/>
        </w:rPr>
        <w:t xml:space="preserve"> του</w:t>
      </w:r>
      <w:r w:rsidR="00C967E1">
        <w:rPr>
          <w:i/>
          <w:iCs/>
        </w:rPr>
        <w:t xml:space="preserve">, συμπεριλαμβανομένων  </w:t>
      </w:r>
      <w:r w:rsidR="00C967E1" w:rsidRPr="00D93B58">
        <w:rPr>
          <w:i/>
          <w:iCs/>
        </w:rPr>
        <w:t xml:space="preserve">των απαιτούμενων ενεργειακών δαπανών για την επίτευξη των βασικών και αξιοπρεπών επιπέδων προτύπων διαβίωσης και υγείας </w:t>
      </w:r>
      <w:r>
        <w:rPr>
          <w:i/>
          <w:iCs/>
        </w:rPr>
        <w:t>του είναι υψηλότερες από το εισόδημα του</w:t>
      </w:r>
      <w:r w:rsidRPr="001A5A48">
        <w:rPr>
          <w:i/>
          <w:iCs/>
        </w:rPr>
        <w:t xml:space="preserve"> </w:t>
      </w:r>
      <w:r>
        <w:rPr>
          <w:i/>
          <w:iCs/>
        </w:rPr>
        <w:t>(Συνθήκη Ι</w:t>
      </w:r>
      <w:r w:rsidRPr="00D24652">
        <w:rPr>
          <w:i/>
          <w:iCs/>
        </w:rPr>
        <w:t>)</w:t>
      </w:r>
      <w:r w:rsidRPr="001A5A48">
        <w:rPr>
          <w:i/>
          <w:iCs/>
        </w:rPr>
        <w:t>.</w:t>
      </w:r>
    </w:p>
    <w:p w14:paraId="15B1A0C7" w14:textId="7632B26C" w:rsidR="0025542B" w:rsidRPr="00884B9E" w:rsidRDefault="0025542B" w:rsidP="0025542B">
      <w:pPr>
        <w:pStyle w:val="a5"/>
        <w:numPr>
          <w:ilvl w:val="0"/>
          <w:numId w:val="7"/>
        </w:numPr>
        <w:spacing w:before="120" w:after="120"/>
        <w:jc w:val="both"/>
      </w:pPr>
      <w:r>
        <w:rPr>
          <w:i/>
          <w:iCs/>
        </w:rPr>
        <w:t xml:space="preserve">Το νοικοκυριό κατοικεί σε </w:t>
      </w:r>
      <w:r w:rsidR="00430BD2">
        <w:rPr>
          <w:i/>
          <w:iCs/>
        </w:rPr>
        <w:t xml:space="preserve">κτίριο </w:t>
      </w:r>
      <w:r>
        <w:rPr>
          <w:i/>
          <w:iCs/>
        </w:rPr>
        <w:t xml:space="preserve">κατασκευασμένο πριν το 1980, το οποίο δεν έχει αναβαθμιστεί ριζικά </w:t>
      </w:r>
      <w:r w:rsidRPr="003A02E7">
        <w:rPr>
          <w:i/>
          <w:iCs/>
        </w:rPr>
        <w:t>(Συνθήκη ΙΙ).</w:t>
      </w:r>
    </w:p>
    <w:p w14:paraId="10A30052" w14:textId="5D0A6B48" w:rsidR="00884B9E" w:rsidRDefault="00884B9E" w:rsidP="00884B9E">
      <w:pPr>
        <w:spacing w:before="120" w:after="120"/>
        <w:jc w:val="both"/>
      </w:pPr>
      <w:r>
        <w:t xml:space="preserve">Ο </w:t>
      </w:r>
      <w:r w:rsidR="00272588">
        <w:t>αναθεωρημένος</w:t>
      </w:r>
      <w:r>
        <w:t xml:space="preserve"> δείκτ</w:t>
      </w:r>
      <w:r w:rsidR="00272588">
        <w:t>η</w:t>
      </w:r>
      <w:r>
        <w:t>ς έχει τα παρακάτω πλεονεκτήματα:</w:t>
      </w:r>
    </w:p>
    <w:p w14:paraId="5850061B" w14:textId="30BD341D" w:rsidR="00884B9E" w:rsidRDefault="00884B9E" w:rsidP="004702B2">
      <w:pPr>
        <w:pStyle w:val="a5"/>
        <w:numPr>
          <w:ilvl w:val="0"/>
          <w:numId w:val="75"/>
        </w:numPr>
        <w:spacing w:before="120" w:after="120"/>
        <w:jc w:val="both"/>
      </w:pPr>
      <w:r>
        <w:t>Ενσωματώνει όλες τις βασικές προσδιοριστικές παραμέτρους της ενεργειακής ένδειας.</w:t>
      </w:r>
    </w:p>
    <w:p w14:paraId="11071C1E" w14:textId="6531B49C" w:rsidR="00884B9E" w:rsidRDefault="00884B9E" w:rsidP="004702B2">
      <w:pPr>
        <w:pStyle w:val="a5"/>
        <w:numPr>
          <w:ilvl w:val="0"/>
          <w:numId w:val="75"/>
        </w:numPr>
        <w:spacing w:before="120" w:after="120"/>
        <w:jc w:val="both"/>
      </w:pPr>
      <w:r>
        <w:t>Δεν απαιτεί τον ορισμό οποιουδήποτε ορίου (είτε κατανάλωσης, είτε εισοδήματος) για τον εντοπισμό των πληττόμενων νοικοκυριών.</w:t>
      </w:r>
    </w:p>
    <w:p w14:paraId="58CE6A5D" w14:textId="2300A551" w:rsidR="00884B9E" w:rsidRDefault="00884B9E" w:rsidP="004702B2">
      <w:pPr>
        <w:pStyle w:val="a5"/>
        <w:numPr>
          <w:ilvl w:val="0"/>
          <w:numId w:val="75"/>
        </w:numPr>
        <w:spacing w:before="120" w:after="120"/>
        <w:jc w:val="both"/>
      </w:pPr>
      <w:r>
        <w:t>Υιοθετεί μια απλοποιημένη ενσωμάτωση της ενεργειακής απόδοσης των κτιρίων χωρίς την απαίτηση χρήσης εξειδικευμένων στοιχείων.</w:t>
      </w:r>
    </w:p>
    <w:p w14:paraId="01D345DC" w14:textId="4D624CF3" w:rsidR="00884B9E" w:rsidRDefault="00884B9E" w:rsidP="004702B2">
      <w:pPr>
        <w:pStyle w:val="a5"/>
        <w:numPr>
          <w:ilvl w:val="0"/>
          <w:numId w:val="75"/>
        </w:numPr>
        <w:spacing w:before="120" w:after="120"/>
        <w:jc w:val="both"/>
      </w:pPr>
      <w:r>
        <w:t>Απαιτεί την υλοποίηση μιας σημαντικά ευκολότερης διαδικασίας ελέγχου και επαλήθευσης.</w:t>
      </w:r>
    </w:p>
    <w:p w14:paraId="38047FB8" w14:textId="66B92235" w:rsidR="0025542B" w:rsidRDefault="00C967E1" w:rsidP="0025542B">
      <w:pPr>
        <w:spacing w:before="120" w:after="120"/>
        <w:jc w:val="both"/>
      </w:pPr>
      <w:r>
        <w:t>Για τον υπολογισμό της Συνθήκης Ι, π</w:t>
      </w:r>
      <w:r w:rsidR="0025542B">
        <w:t xml:space="preserve">ροσδιορίζονται οι εύλογες δαπάνες διαβίωσης για κάθε νοικοκυριό </w:t>
      </w:r>
      <w:r w:rsidR="008F34CD">
        <w:t xml:space="preserve">προσαρμοσμένες </w:t>
      </w:r>
      <w:r>
        <w:t>στον αριθμό</w:t>
      </w:r>
      <w:r w:rsidR="008F34CD">
        <w:t xml:space="preserve"> των μελών</w:t>
      </w:r>
      <w:r w:rsidR="0025542B">
        <w:t xml:space="preserve"> που το απαρτίζουν</w:t>
      </w:r>
      <w:r w:rsidR="006F0716">
        <w:t xml:space="preserve">, όπως δηλώνονται στο πλαίσιο της </w:t>
      </w:r>
      <w:r w:rsidR="00F4578A">
        <w:t xml:space="preserve">Έρευνας Οικογενειακού Προϋπολογισμού </w:t>
      </w:r>
      <w:r w:rsidR="006F0716">
        <w:t>(Βήμα 1)</w:t>
      </w:r>
      <w:r w:rsidR="0025542B">
        <w:t>. Στο Παράρτημα Α παρουσιάζονται αναλυτικά οι κατηγορίες δαπανών που λαμβάνονται υπόψη στον υπολογισμό των εύλογων δαπανών διαβίωσης για κάθε έτος ξεχωριστά.</w:t>
      </w:r>
    </w:p>
    <w:p w14:paraId="25C297B6" w14:textId="6EC521A4" w:rsidR="00430BD2" w:rsidRDefault="00430BD2" w:rsidP="0025542B">
      <w:pPr>
        <w:spacing w:before="120" w:after="120"/>
        <w:jc w:val="both"/>
      </w:pPr>
      <w:r>
        <w:t>Στις υπολογισθείσες εύλογες δαπάνες δ</w:t>
      </w:r>
      <w:r w:rsidR="007B243A">
        <w:t>ι</w:t>
      </w:r>
      <w:r>
        <w:t>αβίωσης κάθε νοικοκυριού γίνονται οι ακόλουθες προσαρμογές:</w:t>
      </w:r>
    </w:p>
    <w:p w14:paraId="003D5F43" w14:textId="67622E9B" w:rsidR="007B243A" w:rsidRDefault="007B243A" w:rsidP="00430BD2">
      <w:pPr>
        <w:pStyle w:val="a5"/>
        <w:numPr>
          <w:ilvl w:val="0"/>
          <w:numId w:val="60"/>
        </w:numPr>
        <w:spacing w:before="120" w:after="120"/>
        <w:jc w:val="both"/>
      </w:pPr>
      <w:r>
        <w:t xml:space="preserve">Αφαιρούνται οι πραγματικές ενεργειακές δαπάνες του νοικοκυριού, οι οποίες είναι διαθέσιμες από την Έρευνα Οικογενειακού Προϋπολογισμού </w:t>
      </w:r>
      <w:r w:rsidRPr="008F34CD">
        <w:t>(</w:t>
      </w:r>
      <w:r>
        <w:t xml:space="preserve">μεταβλητή </w:t>
      </w:r>
      <w:r w:rsidRPr="008F34CD">
        <w:t>ΗΕ045)</w:t>
      </w:r>
      <w:r>
        <w:t xml:space="preserve">, έτσι </w:t>
      </w:r>
      <w:r>
        <w:lastRenderedPageBreak/>
        <w:t>ώστε να αρθούν στρεβλώσεις που σχετίζονται με φαινόμενα υπο-κατανάλωσης ενέργειας (Βήμα 2).</w:t>
      </w:r>
    </w:p>
    <w:p w14:paraId="6CCBA2FC" w14:textId="1AF598EC" w:rsidR="00430BD2" w:rsidRDefault="007B243A" w:rsidP="00430BD2">
      <w:pPr>
        <w:pStyle w:val="a5"/>
        <w:numPr>
          <w:ilvl w:val="0"/>
          <w:numId w:val="60"/>
        </w:numPr>
        <w:spacing w:before="120" w:after="120"/>
        <w:jc w:val="both"/>
      </w:pPr>
      <w:r>
        <w:t xml:space="preserve">Προστίθενται οι υπολογισθείσες απαιτούμενες ενεργειακές δαπάνες για την επίτευξη των βασικών και αξιοπρεπών επιπέδων προτύπων </w:t>
      </w:r>
      <w:r w:rsidRPr="00F406D9">
        <w:t>διαβίωσης και υγείας</w:t>
      </w:r>
      <w:r>
        <w:t xml:space="preserve"> σύμφωνα με τις απαιτήσεις του ορισμού της Οδηγίας 2023/1791/ΕΕ (Βήμα 3). </w:t>
      </w:r>
    </w:p>
    <w:p w14:paraId="7F8A8D8E" w14:textId="36ECE22D" w:rsidR="007B243A" w:rsidRDefault="007B243A" w:rsidP="00513CC8">
      <w:pPr>
        <w:pStyle w:val="a5"/>
        <w:numPr>
          <w:ilvl w:val="0"/>
          <w:numId w:val="60"/>
        </w:numPr>
        <w:spacing w:before="120" w:after="120"/>
        <w:jc w:val="both"/>
      </w:pPr>
      <w:r>
        <w:t xml:space="preserve">Προστίθενται ενδεχόμενες δαπάνες των νοικοκυριών για ενοίκιο </w:t>
      </w:r>
      <w:r w:rsidRPr="008F34CD">
        <w:t>(</w:t>
      </w:r>
      <w:r>
        <w:t>μεταβλητή Έρευνας Οικογενειακού Προϋπολογισμού</w:t>
      </w:r>
      <w:r w:rsidRPr="008F34CD">
        <w:t>)</w:t>
      </w:r>
      <w:r>
        <w:t xml:space="preserve"> και στεγαστικό δάνειο όπως δηλώνονται στην Έρευνα Οικογενειακού Προϋπολογισμού </w:t>
      </w:r>
      <w:r w:rsidRPr="008F34CD">
        <w:t>(</w:t>
      </w:r>
      <w:r>
        <w:t xml:space="preserve">μεταβλητές </w:t>
      </w:r>
      <w:r w:rsidRPr="008F34CD">
        <w:t>ΗΕ0411</w:t>
      </w:r>
      <w:r>
        <w:t xml:space="preserve"> και </w:t>
      </w:r>
      <w:r w:rsidRPr="008F34CD">
        <w:t>DL014</w:t>
      </w:r>
      <w:r>
        <w:t xml:space="preserve"> αντίστοιχα</w:t>
      </w:r>
      <w:r w:rsidRPr="008F34CD">
        <w:t>)</w:t>
      </w:r>
      <w:r>
        <w:t xml:space="preserve"> και έτσι υπολογίζονται οι προσαρμοσμένες εύλογες δαπάνες διαβίωσης των νοικοκυριών  (Βήμα 4).</w:t>
      </w:r>
    </w:p>
    <w:p w14:paraId="7122E242" w14:textId="5F01219C" w:rsidR="00F72E8D" w:rsidRDefault="00F72E8D" w:rsidP="00F72E8D">
      <w:pPr>
        <w:spacing w:before="120" w:after="120"/>
        <w:jc w:val="both"/>
      </w:pPr>
      <w:r>
        <w:t xml:space="preserve">Στο τελευταίο βήμα (Βήμα 5) </w:t>
      </w:r>
      <w:r w:rsidR="007B243A">
        <w:t xml:space="preserve">της υπολογιστικής διαδικασίας </w:t>
      </w:r>
      <w:r>
        <w:t xml:space="preserve">προσδιορίζεται ο Δείκτης </w:t>
      </w:r>
      <w:r w:rsidR="001E5759">
        <w:t>Ι-ΙΙ</w:t>
      </w:r>
      <w:r w:rsidR="001E5759" w:rsidRPr="00645125">
        <w:rPr>
          <w:vertAlign w:val="subscript"/>
        </w:rPr>
        <w:t>2025</w:t>
      </w:r>
      <w:r w:rsidR="001E5759">
        <w:rPr>
          <w:vertAlign w:val="subscript"/>
        </w:rPr>
        <w:t xml:space="preserve"> </w:t>
      </w:r>
      <w:r>
        <w:t>βάσει της ταυτόχρονης πλήρωσης των δυο συνθηκών που λαμβάνονται υπόψη.</w:t>
      </w:r>
    </w:p>
    <w:p w14:paraId="13E886AB" w14:textId="50391AF2" w:rsidR="00F72E8D" w:rsidRDefault="00F72E8D" w:rsidP="00F72E8D">
      <w:pPr>
        <w:spacing w:before="120" w:after="120"/>
        <w:jc w:val="both"/>
      </w:pPr>
      <w:r>
        <w:t xml:space="preserve">Στο Διάγραμμα </w:t>
      </w:r>
      <w:r w:rsidR="00AC4376">
        <w:t>4</w:t>
      </w:r>
      <w:r>
        <w:t xml:space="preserve"> απεικονίζονται τα απαιτούμενα βήματα για τον υπολογισμό του Δείκτη </w:t>
      </w:r>
      <w:r w:rsidR="001E5759">
        <w:t>Ι-ΙΙ</w:t>
      </w:r>
      <w:r w:rsidR="001E5759" w:rsidRPr="00645125">
        <w:rPr>
          <w:vertAlign w:val="subscript"/>
        </w:rPr>
        <w:t>2025</w:t>
      </w:r>
      <w:r>
        <w:t>.</w:t>
      </w:r>
    </w:p>
    <w:p w14:paraId="11A47FBD" w14:textId="77777777" w:rsidR="00F6417D" w:rsidRPr="004A5521" w:rsidRDefault="00F6417D" w:rsidP="004A5521">
      <w:pPr>
        <w:spacing w:before="120" w:after="120"/>
        <w:jc w:val="both"/>
        <w:rPr>
          <w:b/>
          <w:bCs/>
        </w:rPr>
      </w:pPr>
    </w:p>
    <w:p w14:paraId="4F57B6CC" w14:textId="77777777" w:rsidR="0010461C" w:rsidRDefault="0010461C" w:rsidP="0010461C">
      <w:pPr>
        <w:spacing w:before="120" w:after="120"/>
        <w:jc w:val="both"/>
        <w:rPr>
          <w:b/>
          <w:bCs/>
        </w:rPr>
      </w:pPr>
      <w:r w:rsidRPr="00872F39">
        <w:rPr>
          <w:b/>
          <w:bCs/>
          <w:sz w:val="24"/>
          <w:szCs w:val="24"/>
        </w:rPr>
        <w:t>Συνθήκη Ι</w:t>
      </w:r>
    </w:p>
    <w:p w14:paraId="4565264F" w14:textId="77777777" w:rsidR="0010461C" w:rsidRPr="001C2B21" w:rsidRDefault="0010461C" w:rsidP="0010461C">
      <w:pPr>
        <w:spacing w:before="120" w:after="120"/>
        <w:jc w:val="both"/>
      </w:pPr>
      <w:r>
        <w:rPr>
          <w:noProof/>
        </w:rPr>
        <mc:AlternateContent>
          <mc:Choice Requires="wps">
            <w:drawing>
              <wp:anchor distT="0" distB="0" distL="114300" distR="114300" simplePos="0" relativeHeight="251676672" behindDoc="0" locked="0" layoutInCell="1" allowOverlap="1" wp14:anchorId="0E742604" wp14:editId="18E31982">
                <wp:simplePos x="0" y="0"/>
                <wp:positionH relativeFrom="column">
                  <wp:posOffset>4389120</wp:posOffset>
                </wp:positionH>
                <wp:positionV relativeFrom="paragraph">
                  <wp:posOffset>74295</wp:posOffset>
                </wp:positionV>
                <wp:extent cx="1280160" cy="731520"/>
                <wp:effectExtent l="0" t="0" r="15240" b="11430"/>
                <wp:wrapNone/>
                <wp:docPr id="1129192094" name="Rectangle 1"/>
                <wp:cNvGraphicFramePr/>
                <a:graphic xmlns:a="http://schemas.openxmlformats.org/drawingml/2006/main">
                  <a:graphicData uri="http://schemas.microsoft.com/office/word/2010/wordprocessingShape">
                    <wps:wsp>
                      <wps:cNvSpPr/>
                      <wps:spPr>
                        <a:xfrm>
                          <a:off x="0" y="0"/>
                          <a:ext cx="1280160" cy="731520"/>
                        </a:xfrm>
                        <a:prstGeom prst="rect">
                          <a:avLst/>
                        </a:prstGeom>
                        <a:solidFill>
                          <a:srgbClr val="4F81BD">
                            <a:lumMod val="75000"/>
                          </a:srgbClr>
                        </a:solidFill>
                        <a:ln w="25400" cap="flat" cmpd="sng" algn="ctr">
                          <a:solidFill>
                            <a:srgbClr val="4F81BD">
                              <a:shade val="15000"/>
                            </a:srgbClr>
                          </a:solidFill>
                          <a:prstDash val="solid"/>
                        </a:ln>
                        <a:effectLst/>
                      </wps:spPr>
                      <wps:txbx>
                        <w:txbxContent>
                          <w:p w14:paraId="18354424" w14:textId="77777777" w:rsidR="0010461C" w:rsidRPr="00A64EB1" w:rsidRDefault="0010461C" w:rsidP="0010461C">
                            <w:pPr>
                              <w:spacing w:after="0"/>
                              <w:jc w:val="center"/>
                              <w:rPr>
                                <w:b/>
                                <w:bCs/>
                                <w:color w:val="FFFFFF" w:themeColor="background1"/>
                              </w:rPr>
                            </w:pPr>
                            <w:r w:rsidRPr="00A64EB1">
                              <w:rPr>
                                <w:b/>
                                <w:bCs/>
                                <w:color w:val="FFFFFF" w:themeColor="background1"/>
                              </w:rPr>
                              <w:t>Εισόδημα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42604" id="Rectangle 1" o:spid="_x0000_s1026" style="position:absolute;left:0;text-align:left;margin-left:345.6pt;margin-top:5.85pt;width:100.8pt;height:5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" fillcolor="#376092" strokecolor="#1c334e" strokeweight="2pt">
                <v:textbox>
                  <w:txbxContent>
                    <w:p w14:paraId="18354424" w14:textId="77777777" w:rsidR="0010461C" w:rsidRPr="00A64EB1" w:rsidRDefault="0010461C" w:rsidP="0010461C">
                      <w:pPr>
                        <w:spacing w:after="0"/>
                        <w:jc w:val="center"/>
                        <w:rPr>
                          <w:b/>
                          <w:bCs/>
                          <w:color w:val="FFFFFF" w:themeColor="background1"/>
                        </w:rPr>
                      </w:pPr>
                      <w:r w:rsidRPr="00A64EB1">
                        <w:rPr>
                          <w:b/>
                          <w:bCs/>
                          <w:color w:val="FFFFFF" w:themeColor="background1"/>
                        </w:rPr>
                        <w:t>Εισόδημα</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5B565097" wp14:editId="195E8BD2">
                <wp:simplePos x="0" y="0"/>
                <wp:positionH relativeFrom="column">
                  <wp:posOffset>2779395</wp:posOffset>
                </wp:positionH>
                <wp:positionV relativeFrom="paragraph">
                  <wp:posOffset>70485</wp:posOffset>
                </wp:positionV>
                <wp:extent cx="1280160" cy="731520"/>
                <wp:effectExtent l="0" t="0" r="15240" b="11430"/>
                <wp:wrapNone/>
                <wp:docPr id="774316516" name="Rectangle 1"/>
                <wp:cNvGraphicFramePr/>
                <a:graphic xmlns:a="http://schemas.openxmlformats.org/drawingml/2006/main">
                  <a:graphicData uri="http://schemas.microsoft.com/office/word/2010/wordprocessingShape">
                    <wps:wsp>
                      <wps:cNvSpPr/>
                      <wps:spPr>
                        <a:xfrm>
                          <a:off x="0" y="0"/>
                          <a:ext cx="1280160" cy="731520"/>
                        </a:xfrm>
                        <a:prstGeom prst="rect">
                          <a:avLst/>
                        </a:prstGeom>
                        <a:solidFill>
                          <a:srgbClr val="4F81BD">
                            <a:lumMod val="75000"/>
                          </a:srgbClr>
                        </a:solidFill>
                        <a:ln w="25400" cap="flat" cmpd="sng" algn="ctr">
                          <a:solidFill>
                            <a:srgbClr val="4F81BD">
                              <a:shade val="15000"/>
                            </a:srgbClr>
                          </a:solidFill>
                          <a:prstDash val="solid"/>
                        </a:ln>
                        <a:effectLst/>
                      </wps:spPr>
                      <wps:txbx>
                        <w:txbxContent>
                          <w:p w14:paraId="4E83C848" w14:textId="77777777" w:rsidR="0010461C" w:rsidRPr="00A64EB1" w:rsidRDefault="0010461C" w:rsidP="0010461C">
                            <w:pPr>
                              <w:spacing w:after="0"/>
                              <w:jc w:val="center"/>
                              <w:rPr>
                                <w:b/>
                                <w:bCs/>
                                <w:color w:val="FFFFFF" w:themeColor="background1"/>
                              </w:rPr>
                            </w:pPr>
                            <w:r w:rsidRPr="00A64EB1">
                              <w:rPr>
                                <w:b/>
                                <w:bCs/>
                                <w:color w:val="FFFFFF" w:themeColor="background1"/>
                              </w:rPr>
                              <w:t>Δαπάνες δανείου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65097" id="_x0000_s1027" style="position:absolute;left:0;text-align:left;margin-left:218.85pt;margin-top:5.55pt;width:100.8pt;height:5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" fillcolor="#376092" strokecolor="#1c334e" strokeweight="2pt">
                <v:textbox>
                  <w:txbxContent>
                    <w:p w14:paraId="4E83C848" w14:textId="77777777" w:rsidR="0010461C" w:rsidRPr="00A64EB1" w:rsidRDefault="0010461C" w:rsidP="0010461C">
                      <w:pPr>
                        <w:spacing w:after="0"/>
                        <w:jc w:val="center"/>
                        <w:rPr>
                          <w:b/>
                          <w:bCs/>
                          <w:color w:val="FFFFFF" w:themeColor="background1"/>
                        </w:rPr>
                      </w:pPr>
                      <w:r w:rsidRPr="00A64EB1">
                        <w:rPr>
                          <w:b/>
                          <w:bCs/>
                          <w:color w:val="FFFFFF" w:themeColor="background1"/>
                        </w:rPr>
                        <w:t>Δαπάνες δανείου</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B26BE65" wp14:editId="786310FD">
                <wp:simplePos x="0" y="0"/>
                <wp:positionH relativeFrom="column">
                  <wp:posOffset>1219200</wp:posOffset>
                </wp:positionH>
                <wp:positionV relativeFrom="paragraph">
                  <wp:posOffset>89535</wp:posOffset>
                </wp:positionV>
                <wp:extent cx="1280160" cy="731520"/>
                <wp:effectExtent l="0" t="0" r="15240" b="11430"/>
                <wp:wrapNone/>
                <wp:docPr id="156926518" name="Rectangle 1"/>
                <wp:cNvGraphicFramePr/>
                <a:graphic xmlns:a="http://schemas.openxmlformats.org/drawingml/2006/main">
                  <a:graphicData uri="http://schemas.microsoft.com/office/word/2010/wordprocessingShape">
                    <wps:wsp>
                      <wps:cNvSpPr/>
                      <wps:spPr>
                        <a:xfrm>
                          <a:off x="0" y="0"/>
                          <a:ext cx="1280160" cy="731520"/>
                        </a:xfrm>
                        <a:prstGeom prst="rect">
                          <a:avLst/>
                        </a:prstGeom>
                        <a:solidFill>
                          <a:srgbClr val="4F81BD">
                            <a:lumMod val="75000"/>
                          </a:srgbClr>
                        </a:solidFill>
                        <a:ln w="25400" cap="flat" cmpd="sng" algn="ctr">
                          <a:solidFill>
                            <a:srgbClr val="4F81BD">
                              <a:shade val="15000"/>
                            </a:srgbClr>
                          </a:solidFill>
                          <a:prstDash val="solid"/>
                        </a:ln>
                        <a:effectLst/>
                      </wps:spPr>
                      <wps:txbx>
                        <w:txbxContent>
                          <w:p w14:paraId="30A75CA1" w14:textId="77777777" w:rsidR="0010461C" w:rsidRPr="00A64EB1" w:rsidRDefault="0010461C" w:rsidP="0010461C">
                            <w:pPr>
                              <w:spacing w:after="0"/>
                              <w:jc w:val="center"/>
                              <w:rPr>
                                <w:b/>
                                <w:bCs/>
                                <w:color w:val="FFFFFF" w:themeColor="background1"/>
                              </w:rPr>
                            </w:pPr>
                            <w:r w:rsidRPr="00A64EB1">
                              <w:rPr>
                                <w:b/>
                                <w:bCs/>
                                <w:color w:val="FFFFFF" w:themeColor="background1"/>
                              </w:rPr>
                              <w:t>Δαπάνες ενοικίου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6BE65" id="_x0000_s1028" style="position:absolute;left:0;text-align:left;margin-left:96pt;margin-top:7.05pt;width:100.8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" fillcolor="#376092" strokecolor="#1c334e" strokeweight="2pt">
                <v:textbox>
                  <w:txbxContent>
                    <w:p w14:paraId="30A75CA1" w14:textId="77777777" w:rsidR="0010461C" w:rsidRPr="00A64EB1" w:rsidRDefault="0010461C" w:rsidP="0010461C">
                      <w:pPr>
                        <w:spacing w:after="0"/>
                        <w:jc w:val="center"/>
                        <w:rPr>
                          <w:b/>
                          <w:bCs/>
                          <w:color w:val="FFFFFF" w:themeColor="background1"/>
                        </w:rPr>
                      </w:pPr>
                      <w:r w:rsidRPr="00A64EB1">
                        <w:rPr>
                          <w:b/>
                          <w:bCs/>
                          <w:color w:val="FFFFFF" w:themeColor="background1"/>
                        </w:rPr>
                        <w:t>Δαπάνες ενοικίου</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0B8FB41F" wp14:editId="22FDC6A1">
                <wp:simplePos x="0" y="0"/>
                <wp:positionH relativeFrom="column">
                  <wp:posOffset>-373380</wp:posOffset>
                </wp:positionH>
                <wp:positionV relativeFrom="paragraph">
                  <wp:posOffset>98425</wp:posOffset>
                </wp:positionV>
                <wp:extent cx="1280160" cy="731520"/>
                <wp:effectExtent l="0" t="0" r="15240" b="11430"/>
                <wp:wrapNone/>
                <wp:docPr id="833486577" name="Rectangle 1"/>
                <wp:cNvGraphicFramePr/>
                <a:graphic xmlns:a="http://schemas.openxmlformats.org/drawingml/2006/main">
                  <a:graphicData uri="http://schemas.microsoft.com/office/word/2010/wordprocessingShape">
                    <wps:wsp>
                      <wps:cNvSpPr/>
                      <wps:spPr>
                        <a:xfrm>
                          <a:off x="0" y="0"/>
                          <a:ext cx="1280160" cy="731520"/>
                        </a:xfrm>
                        <a:prstGeom prst="rect">
                          <a:avLst/>
                        </a:prstGeom>
                        <a:solidFill>
                          <a:srgbClr val="4F81BD">
                            <a:lumMod val="75000"/>
                          </a:srgbClr>
                        </a:solidFill>
                        <a:ln w="25400" cap="flat" cmpd="sng" algn="ctr">
                          <a:solidFill>
                            <a:srgbClr val="4F81BD">
                              <a:shade val="15000"/>
                            </a:srgbClr>
                          </a:solidFill>
                          <a:prstDash val="solid"/>
                        </a:ln>
                        <a:effectLst/>
                      </wps:spPr>
                      <wps:txbx>
                        <w:txbxContent>
                          <w:p w14:paraId="1F996A9A" w14:textId="77777777" w:rsidR="0010461C" w:rsidRPr="00A64EB1" w:rsidRDefault="0010461C" w:rsidP="0010461C">
                            <w:pPr>
                              <w:spacing w:after="0"/>
                              <w:jc w:val="center"/>
                              <w:rPr>
                                <w:b/>
                                <w:bCs/>
                                <w:color w:val="FFFFFF" w:themeColor="background1"/>
                              </w:rPr>
                            </w:pPr>
                            <w:r w:rsidRPr="00A64EB1">
                              <w:rPr>
                                <w:b/>
                                <w:bCs/>
                                <w:color w:val="FFFFFF" w:themeColor="background1"/>
                              </w:rPr>
                              <w:t>Προσαρμοσμένες εύλογες δαπάνες διαβίωσης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FB41F" id="_x0000_s1029" style="position:absolute;left:0;text-align:left;margin-left:-29.4pt;margin-top:7.75pt;width:100.8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" fillcolor="#376092" strokecolor="#1c334e" strokeweight="2pt">
                <v:textbox>
                  <w:txbxContent>
                    <w:p w14:paraId="1F996A9A" w14:textId="77777777" w:rsidR="0010461C" w:rsidRPr="00A64EB1" w:rsidRDefault="0010461C" w:rsidP="0010461C">
                      <w:pPr>
                        <w:spacing w:after="0"/>
                        <w:jc w:val="center"/>
                        <w:rPr>
                          <w:b/>
                          <w:bCs/>
                          <w:color w:val="FFFFFF" w:themeColor="background1"/>
                        </w:rPr>
                      </w:pPr>
                      <w:r w:rsidRPr="00A64EB1">
                        <w:rPr>
                          <w:b/>
                          <w:bCs/>
                          <w:color w:val="FFFFFF" w:themeColor="background1"/>
                        </w:rPr>
                        <w:t>Προσαρμοσμένες εύλογες δαπάνες διαβίωσης</w:t>
                      </w:r>
                    </w:p>
                  </w:txbxContent>
                </v:textbox>
              </v:rect>
            </w:pict>
          </mc:Fallback>
        </mc:AlternateContent>
      </w:r>
    </w:p>
    <w:p w14:paraId="547B7924" w14:textId="77777777" w:rsidR="0010461C" w:rsidRPr="004C3CA8" w:rsidRDefault="0010461C" w:rsidP="0010461C">
      <w:pPr>
        <w:spacing w:before="120" w:after="120"/>
        <w:jc w:val="both"/>
      </w:pPr>
      <w:r w:rsidRPr="002D23C4">
        <w:rPr>
          <w:b/>
          <w:bCs/>
          <w:noProof/>
          <w:sz w:val="32"/>
          <w:szCs w:val="32"/>
        </w:rPr>
        <w:drawing>
          <wp:anchor distT="0" distB="0" distL="114300" distR="114300" simplePos="0" relativeHeight="251679744" behindDoc="1" locked="0" layoutInCell="1" allowOverlap="1" wp14:anchorId="7CB9DF42" wp14:editId="01B6DFD7">
            <wp:simplePos x="0" y="0"/>
            <wp:positionH relativeFrom="column">
              <wp:posOffset>4114800</wp:posOffset>
            </wp:positionH>
            <wp:positionV relativeFrom="paragraph">
              <wp:posOffset>87630</wp:posOffset>
            </wp:positionV>
            <wp:extent cx="247650" cy="190500"/>
            <wp:effectExtent l="0" t="0" r="0" b="0"/>
            <wp:wrapThrough wrapText="bothSides">
              <wp:wrapPolygon edited="0">
                <wp:start x="0" y="0"/>
                <wp:lineTo x="0" y="19440"/>
                <wp:lineTo x="19938" y="19440"/>
                <wp:lineTo x="19938" y="0"/>
                <wp:lineTo x="0" y="0"/>
              </wp:wrapPolygon>
            </wp:wrapThrough>
            <wp:docPr id="147673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68344" name=""/>
                    <pic:cNvPicPr/>
                  </pic:nvPicPr>
                  <pic:blipFill>
                    <a:blip r:embed="rId16"/>
                    <a:stretch>
                      <a:fillRect/>
                    </a:stretch>
                  </pic:blipFill>
                  <pic:spPr>
                    <a:xfrm>
                      <a:off x="0" y="0"/>
                      <a:ext cx="247650" cy="190500"/>
                    </a:xfrm>
                    <a:prstGeom prst="rect">
                      <a:avLst/>
                    </a:prstGeom>
                  </pic:spPr>
                </pic:pic>
              </a:graphicData>
            </a:graphic>
          </wp:anchor>
        </w:drawing>
      </w:r>
      <w:r w:rsidRPr="004C3CA8">
        <w:rPr>
          <w:b/>
          <w:bCs/>
          <w:noProof/>
          <w:sz w:val="32"/>
          <w:szCs w:val="32"/>
        </w:rPr>
        <w:drawing>
          <wp:anchor distT="0" distB="0" distL="114300" distR="114300" simplePos="0" relativeHeight="251678720" behindDoc="1" locked="0" layoutInCell="1" allowOverlap="1" wp14:anchorId="5FB5EE21" wp14:editId="617D5C94">
            <wp:simplePos x="0" y="0"/>
            <wp:positionH relativeFrom="column">
              <wp:posOffset>2522220</wp:posOffset>
            </wp:positionH>
            <wp:positionV relativeFrom="paragraph">
              <wp:posOffset>8255</wp:posOffset>
            </wp:positionV>
            <wp:extent cx="213360" cy="289560"/>
            <wp:effectExtent l="0" t="0" r="0" b="0"/>
            <wp:wrapTight wrapText="bothSides">
              <wp:wrapPolygon edited="0">
                <wp:start x="0" y="0"/>
                <wp:lineTo x="0" y="19895"/>
                <wp:lineTo x="19286" y="19895"/>
                <wp:lineTo x="19286" y="0"/>
                <wp:lineTo x="0" y="0"/>
              </wp:wrapPolygon>
            </wp:wrapTight>
            <wp:docPr id="5545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20447" name=""/>
                    <pic:cNvPicPr/>
                  </pic:nvPicPr>
                  <pic:blipFill rotWithShape="1">
                    <a:blip r:embed="rId17"/>
                    <a:srcRect l="32280" r="28421" b="5000"/>
                    <a:stretch/>
                  </pic:blipFill>
                  <pic:spPr bwMode="auto">
                    <a:xfrm>
                      <a:off x="0" y="0"/>
                      <a:ext cx="213360" cy="289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3CA8">
        <w:rPr>
          <w:b/>
          <w:bCs/>
          <w:noProof/>
          <w:sz w:val="32"/>
          <w:szCs w:val="32"/>
        </w:rPr>
        <w:drawing>
          <wp:anchor distT="0" distB="0" distL="114300" distR="114300" simplePos="0" relativeHeight="251677696" behindDoc="1" locked="0" layoutInCell="1" allowOverlap="1" wp14:anchorId="21557C86" wp14:editId="6796E397">
            <wp:simplePos x="0" y="0"/>
            <wp:positionH relativeFrom="column">
              <wp:posOffset>967740</wp:posOffset>
            </wp:positionH>
            <wp:positionV relativeFrom="paragraph">
              <wp:posOffset>11430</wp:posOffset>
            </wp:positionV>
            <wp:extent cx="213360" cy="289560"/>
            <wp:effectExtent l="0" t="0" r="0" b="0"/>
            <wp:wrapTight wrapText="bothSides">
              <wp:wrapPolygon edited="0">
                <wp:start x="0" y="0"/>
                <wp:lineTo x="0" y="19895"/>
                <wp:lineTo x="19286" y="19895"/>
                <wp:lineTo x="19286" y="0"/>
                <wp:lineTo x="0" y="0"/>
              </wp:wrapPolygon>
            </wp:wrapTight>
            <wp:docPr id="59088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20447" name=""/>
                    <pic:cNvPicPr/>
                  </pic:nvPicPr>
                  <pic:blipFill rotWithShape="1">
                    <a:blip r:embed="rId17"/>
                    <a:srcRect l="32280" r="28421" b="5000"/>
                    <a:stretch/>
                  </pic:blipFill>
                  <pic:spPr bwMode="auto">
                    <a:xfrm>
                      <a:off x="0" y="0"/>
                      <a:ext cx="213360" cy="289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p>
    <w:p w14:paraId="1FE34F1E" w14:textId="77777777" w:rsidR="0010461C" w:rsidRPr="0033466F" w:rsidRDefault="0010461C" w:rsidP="0010461C">
      <w:pPr>
        <w:spacing w:before="120" w:after="120"/>
        <w:jc w:val="both"/>
      </w:pPr>
    </w:p>
    <w:p w14:paraId="6E5F0118" w14:textId="77777777" w:rsidR="0010461C" w:rsidRDefault="0010461C" w:rsidP="0010461C">
      <w:pPr>
        <w:spacing w:before="120" w:after="120"/>
        <w:jc w:val="both"/>
      </w:pPr>
    </w:p>
    <w:p w14:paraId="721390CB" w14:textId="77777777" w:rsidR="0010461C" w:rsidRPr="00C45FB7" w:rsidRDefault="0010461C" w:rsidP="0010461C">
      <w:pPr>
        <w:spacing w:before="120" w:after="120"/>
        <w:jc w:val="both"/>
        <w:rPr>
          <w:b/>
          <w:bCs/>
        </w:rPr>
      </w:pPr>
      <w:r w:rsidRPr="00C45FB7">
        <w:rPr>
          <w:b/>
          <w:bCs/>
          <w:sz w:val="24"/>
          <w:szCs w:val="24"/>
        </w:rPr>
        <w:t>Συνθήκη</w:t>
      </w:r>
      <w:r w:rsidRPr="00C45FB7">
        <w:rPr>
          <w:b/>
          <w:bCs/>
        </w:rPr>
        <w:t xml:space="preserve"> </w:t>
      </w:r>
      <w:r w:rsidRPr="00C45FB7">
        <w:rPr>
          <w:b/>
          <w:bCs/>
          <w:sz w:val="24"/>
          <w:szCs w:val="24"/>
        </w:rPr>
        <w:t>ΙΙ</w:t>
      </w:r>
    </w:p>
    <w:p w14:paraId="73A6A17F" w14:textId="77777777" w:rsidR="0010461C" w:rsidRDefault="0010461C" w:rsidP="0010461C">
      <w:pPr>
        <w:spacing w:before="120" w:after="120"/>
        <w:jc w:val="both"/>
      </w:pPr>
    </w:p>
    <w:p w14:paraId="5A8E78C0" w14:textId="77777777" w:rsidR="0010461C" w:rsidRDefault="0010461C" w:rsidP="0010461C">
      <w:pPr>
        <w:spacing w:before="120" w:after="120"/>
        <w:jc w:val="both"/>
      </w:pPr>
      <w:r>
        <w:rPr>
          <w:noProof/>
        </w:rPr>
        <mc:AlternateContent>
          <mc:Choice Requires="wps">
            <w:drawing>
              <wp:anchor distT="45720" distB="45720" distL="114300" distR="114300" simplePos="0" relativeHeight="251682816" behindDoc="0" locked="0" layoutInCell="1" allowOverlap="1" wp14:anchorId="22A5F990" wp14:editId="5463DDC1">
                <wp:simplePos x="0" y="0"/>
                <wp:positionH relativeFrom="margin">
                  <wp:posOffset>3157220</wp:posOffset>
                </wp:positionH>
                <wp:positionV relativeFrom="paragraph">
                  <wp:posOffset>182245</wp:posOffset>
                </wp:positionV>
                <wp:extent cx="2011680" cy="327660"/>
                <wp:effectExtent l="0" t="0" r="7620" b="0"/>
                <wp:wrapSquare wrapText="bothSides"/>
                <wp:docPr id="1049232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27660"/>
                        </a:xfrm>
                        <a:prstGeom prst="rect">
                          <a:avLst/>
                        </a:prstGeom>
                        <a:solidFill>
                          <a:srgbClr val="FFFFFF"/>
                        </a:solidFill>
                        <a:ln w="9525">
                          <a:noFill/>
                          <a:miter lim="800000"/>
                          <a:headEnd/>
                          <a:tailEnd/>
                        </a:ln>
                      </wps:spPr>
                      <wps:txbx>
                        <w:txbxContent>
                          <w:p w14:paraId="5B9B4ED1" w14:textId="77777777" w:rsidR="0010461C" w:rsidRPr="002D23C4" w:rsidRDefault="0010461C" w:rsidP="0010461C">
                            <w:pPr>
                              <w:jc w:val="center"/>
                              <w:rPr>
                                <w:b/>
                                <w:bCs/>
                                <w:color w:val="000000" w:themeColor="text1"/>
                              </w:rPr>
                            </w:pPr>
                            <w:r w:rsidRPr="002D23C4">
                              <w:rPr>
                                <w:b/>
                                <w:bCs/>
                                <w:color w:val="000000" w:themeColor="text1"/>
                              </w:rPr>
                              <w:t>Κατασκευή πριν το 1980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5F990" id="_x0000_t202" coordsize="21600,21600" o:spt="202" path="m,l,21600r21600,l21600,xe">
                <v:stroke joinstyle="miter"/>
                <v:path gradientshapeok="t" o:connecttype="rect"/>
              </v:shapetype>
              <v:shape id="Text Box 2" o:spid="_x0000_s1030" type="#_x0000_t202" style="position:absolute;left:0;text-align:left;margin-left:248.6pt;margin-top:14.35pt;width:158.4pt;height:25.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" stroked="f">
                <v:textbox>
                  <w:txbxContent>
                    <w:p w14:paraId="5B9B4ED1" w14:textId="77777777" w:rsidR="0010461C" w:rsidRPr="002D23C4" w:rsidRDefault="0010461C" w:rsidP="0010461C">
                      <w:pPr>
                        <w:jc w:val="center"/>
                        <w:rPr>
                          <w:b/>
                          <w:bCs/>
                          <w:color w:val="000000" w:themeColor="text1"/>
                        </w:rPr>
                      </w:pPr>
                      <w:r w:rsidRPr="002D23C4">
                        <w:rPr>
                          <w:b/>
                          <w:bCs/>
                          <w:color w:val="000000" w:themeColor="text1"/>
                        </w:rPr>
                        <w:t>Κατασκευή πριν το 1980</w:t>
                      </w:r>
                    </w:p>
                  </w:txbxContent>
                </v:textbox>
                <w10:wrap type="square" anchorx="margin"/>
              </v:shape>
            </w:pict>
          </mc:Fallback>
        </mc:AlternateContent>
      </w:r>
      <w:r>
        <w:rPr>
          <w:noProof/>
        </w:rPr>
        <mc:AlternateContent>
          <mc:Choice Requires="wps">
            <w:drawing>
              <wp:anchor distT="0" distB="0" distL="114300" distR="114300" simplePos="0" relativeHeight="251681792" behindDoc="0" locked="0" layoutInCell="1" allowOverlap="1" wp14:anchorId="163F2A27" wp14:editId="1040E95F">
                <wp:simplePos x="0" y="0"/>
                <wp:positionH relativeFrom="column">
                  <wp:posOffset>2217420</wp:posOffset>
                </wp:positionH>
                <wp:positionV relativeFrom="paragraph">
                  <wp:posOffset>182245</wp:posOffset>
                </wp:positionV>
                <wp:extent cx="548640" cy="274320"/>
                <wp:effectExtent l="0" t="19050" r="41910" b="30480"/>
                <wp:wrapNone/>
                <wp:docPr id="923277956" name="Arrow: Right 5"/>
                <wp:cNvGraphicFramePr/>
                <a:graphic xmlns:a="http://schemas.openxmlformats.org/drawingml/2006/main">
                  <a:graphicData uri="http://schemas.microsoft.com/office/word/2010/wordprocessingShape">
                    <wps:wsp>
                      <wps:cNvSpPr/>
                      <wps:spPr>
                        <a:xfrm>
                          <a:off x="0" y="0"/>
                          <a:ext cx="548640" cy="274320"/>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1EA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74.6pt;margin-top:14.35pt;width:43.2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" fillcolor="#4f81bd" strokecolor="#1c334e" strokeweight="2pt"/>
            </w:pict>
          </mc:Fallback>
        </mc:AlternateContent>
      </w:r>
      <w:r>
        <w:rPr>
          <w:noProof/>
        </w:rPr>
        <mc:AlternateContent>
          <mc:Choice Requires="wps">
            <w:drawing>
              <wp:anchor distT="0" distB="0" distL="114300" distR="114300" simplePos="0" relativeHeight="251680768" behindDoc="0" locked="0" layoutInCell="1" allowOverlap="1" wp14:anchorId="254594C4" wp14:editId="7968DFF7">
                <wp:simplePos x="0" y="0"/>
                <wp:positionH relativeFrom="column">
                  <wp:posOffset>0</wp:posOffset>
                </wp:positionH>
                <wp:positionV relativeFrom="paragraph">
                  <wp:posOffset>0</wp:posOffset>
                </wp:positionV>
                <wp:extent cx="1280160" cy="731520"/>
                <wp:effectExtent l="0" t="0" r="15240" b="11430"/>
                <wp:wrapNone/>
                <wp:docPr id="453218619" name="Rectangle 1"/>
                <wp:cNvGraphicFramePr/>
                <a:graphic xmlns:a="http://schemas.openxmlformats.org/drawingml/2006/main">
                  <a:graphicData uri="http://schemas.microsoft.com/office/word/2010/wordprocessingShape">
                    <wps:wsp>
                      <wps:cNvSpPr/>
                      <wps:spPr>
                        <a:xfrm>
                          <a:off x="0" y="0"/>
                          <a:ext cx="1280160" cy="731520"/>
                        </a:xfrm>
                        <a:prstGeom prst="rect">
                          <a:avLst/>
                        </a:prstGeom>
                        <a:solidFill>
                          <a:srgbClr val="4F81BD">
                            <a:lumMod val="75000"/>
                          </a:srgbClr>
                        </a:solidFill>
                        <a:ln w="25400" cap="flat" cmpd="sng" algn="ctr">
                          <a:solidFill>
                            <a:srgbClr val="4F81BD">
                              <a:shade val="15000"/>
                            </a:srgbClr>
                          </a:solidFill>
                          <a:prstDash val="solid"/>
                        </a:ln>
                        <a:effectLst/>
                      </wps:spPr>
                      <wps:txbx>
                        <w:txbxContent>
                          <w:p w14:paraId="702B7C98" w14:textId="77777777" w:rsidR="0010461C" w:rsidRPr="00A64EB1" w:rsidRDefault="0010461C" w:rsidP="0010461C">
                            <w:pPr>
                              <w:spacing w:after="0"/>
                              <w:jc w:val="center"/>
                              <w:rPr>
                                <w:b/>
                                <w:bCs/>
                                <w:color w:val="FFFFFF" w:themeColor="background1"/>
                              </w:rPr>
                            </w:pPr>
                            <w:r w:rsidRPr="00A64EB1">
                              <w:rPr>
                                <w:b/>
                                <w:bCs/>
                                <w:color w:val="FFFFFF" w:themeColor="background1"/>
                              </w:rPr>
                              <w:t>Οικοδομική άδεια και Υπεύθυνη Δήλωση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594C4" id="_x0000_s1031" style="position:absolute;left:0;text-align:left;margin-left:0;margin-top:0;width:100.8pt;height:5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" fillcolor="#376092" strokecolor="#1c334e" strokeweight="2pt">
                <v:textbox>
                  <w:txbxContent>
                    <w:p w14:paraId="702B7C98" w14:textId="77777777" w:rsidR="0010461C" w:rsidRPr="00A64EB1" w:rsidRDefault="0010461C" w:rsidP="0010461C">
                      <w:pPr>
                        <w:spacing w:after="0"/>
                        <w:jc w:val="center"/>
                        <w:rPr>
                          <w:b/>
                          <w:bCs/>
                          <w:color w:val="FFFFFF" w:themeColor="background1"/>
                        </w:rPr>
                      </w:pPr>
                      <w:r w:rsidRPr="00A64EB1">
                        <w:rPr>
                          <w:b/>
                          <w:bCs/>
                          <w:color w:val="FFFFFF" w:themeColor="background1"/>
                        </w:rPr>
                        <w:t>Οικοδομική άδεια και Υπεύθυνη Δήλωση</w:t>
                      </w:r>
                    </w:p>
                  </w:txbxContent>
                </v:textbox>
              </v:rect>
            </w:pict>
          </mc:Fallback>
        </mc:AlternateContent>
      </w:r>
    </w:p>
    <w:p w14:paraId="26BB4215" w14:textId="77777777" w:rsidR="0010461C" w:rsidRDefault="0010461C" w:rsidP="0010461C">
      <w:pPr>
        <w:spacing w:before="120" w:after="120"/>
        <w:jc w:val="both"/>
      </w:pPr>
    </w:p>
    <w:p w14:paraId="78E2DB6B" w14:textId="77777777" w:rsidR="0010461C" w:rsidRDefault="0010461C" w:rsidP="0010461C">
      <w:pPr>
        <w:spacing w:before="120" w:after="120"/>
        <w:jc w:val="both"/>
      </w:pPr>
    </w:p>
    <w:p w14:paraId="2648A369" w14:textId="77777777" w:rsidR="00B94D45" w:rsidRDefault="00B94D45" w:rsidP="0010461C">
      <w:pPr>
        <w:spacing w:before="120" w:after="120"/>
        <w:jc w:val="both"/>
      </w:pPr>
    </w:p>
    <w:p w14:paraId="3E0D4F35" w14:textId="77777777" w:rsidR="00EE62A1" w:rsidRDefault="00EE62A1" w:rsidP="00A64EB1">
      <w:pPr>
        <w:spacing w:before="120" w:after="120"/>
        <w:jc w:val="center"/>
        <w:rPr>
          <w:b/>
          <w:bCs/>
        </w:rPr>
      </w:pPr>
      <w:r w:rsidRPr="004A5521">
        <w:rPr>
          <w:b/>
          <w:bCs/>
        </w:rPr>
        <w:t>Διάγραμμα 4: Συνθήκες Ι και ΙΙ του Δείκτη Ι-ΙΙ</w:t>
      </w:r>
      <w:r w:rsidRPr="004A5521">
        <w:rPr>
          <w:b/>
          <w:bCs/>
          <w:vertAlign w:val="subscript"/>
        </w:rPr>
        <w:t>2025</w:t>
      </w:r>
      <w:r w:rsidRPr="004A5521">
        <w:rPr>
          <w:b/>
          <w:bCs/>
        </w:rPr>
        <w:t>.</w:t>
      </w:r>
    </w:p>
    <w:p w14:paraId="00DD46FF" w14:textId="77777777" w:rsidR="00F54FAA" w:rsidRDefault="00F54FAA" w:rsidP="00F54FAA">
      <w:pPr>
        <w:spacing w:before="120" w:after="120"/>
        <w:jc w:val="both"/>
      </w:pPr>
    </w:p>
    <w:p w14:paraId="01CD9913" w14:textId="77777777" w:rsidR="00F6417D" w:rsidRPr="00F6417D" w:rsidRDefault="00F6417D" w:rsidP="00F6417D">
      <w:pPr>
        <w:spacing w:before="120" w:after="120"/>
        <w:jc w:val="both"/>
      </w:pPr>
      <w:r w:rsidRPr="00F6417D">
        <w:t>Οι προσαρμοσμένες εύλογες δαπάνες διαβίωσης θα επικαιροποιούνται βάσει των δεδομένων που είναι διαθέσιμα από την Έρευνα Οικογενειακού Προϋπολογισμού σε ετήσια βάση.</w:t>
      </w:r>
    </w:p>
    <w:p w14:paraId="4776275F" w14:textId="0A0A5EE9" w:rsidR="00F6417D" w:rsidRPr="00F6417D" w:rsidRDefault="00F6417D" w:rsidP="00F6417D">
      <w:pPr>
        <w:spacing w:before="120" w:after="120"/>
        <w:jc w:val="both"/>
      </w:pPr>
      <w:r w:rsidRPr="00F6417D">
        <w:t xml:space="preserve">Οι προσαρμοσμένες εύλογες δαπάνες διαβίωσης για το 2023 παρουσιάζονται στον Πίνακα </w:t>
      </w:r>
      <w:r w:rsidR="00677626">
        <w:t>1</w:t>
      </w:r>
      <w:r w:rsidRPr="00F6417D">
        <w:t>.</w:t>
      </w:r>
    </w:p>
    <w:p w14:paraId="1AD14D92" w14:textId="612F2E45" w:rsidR="00F6417D" w:rsidRPr="00F6417D" w:rsidRDefault="00F6417D" w:rsidP="00F6417D">
      <w:pPr>
        <w:spacing w:before="120" w:after="120"/>
        <w:jc w:val="both"/>
        <w:rPr>
          <w:b/>
          <w:bCs/>
        </w:rPr>
      </w:pPr>
      <w:r w:rsidRPr="00F6417D">
        <w:rPr>
          <w:b/>
          <w:bCs/>
        </w:rPr>
        <w:t xml:space="preserve">Πίνακας </w:t>
      </w:r>
      <w:r w:rsidR="00677626">
        <w:rPr>
          <w:b/>
          <w:bCs/>
        </w:rPr>
        <w:t>1</w:t>
      </w:r>
      <w:r w:rsidRPr="00F6417D">
        <w:rPr>
          <w:b/>
          <w:bCs/>
        </w:rPr>
        <w:t>: Τιμές προσαρμοσμένων εύλογων δαπανών διαβίωσης για τα πληττόμενα νοικοκυριά το έτος 2023.</w:t>
      </w:r>
    </w:p>
    <w:tbl>
      <w:tblPr>
        <w:tblStyle w:val="a6"/>
        <w:tblW w:w="0" w:type="auto"/>
        <w:jc w:val="center"/>
        <w:tblLook w:val="04A0" w:firstRow="1" w:lastRow="0" w:firstColumn="1" w:lastColumn="0" w:noHBand="0" w:noVBand="1"/>
      </w:tblPr>
      <w:tblGrid>
        <w:gridCol w:w="5400"/>
        <w:gridCol w:w="2141"/>
      </w:tblGrid>
      <w:tr w:rsidR="00F6417D" w:rsidRPr="00F6417D" w14:paraId="4487DFD8" w14:textId="77777777" w:rsidTr="0033466F">
        <w:trPr>
          <w:trHeight w:val="249"/>
          <w:jc w:val="center"/>
        </w:trPr>
        <w:tc>
          <w:tcPr>
            <w:tcW w:w="5400" w:type="dxa"/>
            <w:shd w:val="clear" w:color="auto" w:fill="DBE5F1" w:themeFill="accent1" w:themeFillTint="33"/>
            <w:vAlign w:val="center"/>
          </w:tcPr>
          <w:p w14:paraId="6A998D4A" w14:textId="77777777" w:rsidR="00F6417D" w:rsidRPr="00F6417D" w:rsidRDefault="00F6417D" w:rsidP="00A64EB1">
            <w:pPr>
              <w:spacing w:before="120" w:after="120"/>
              <w:jc w:val="center"/>
              <w:rPr>
                <w:b/>
                <w:bCs/>
                <w:sz w:val="22"/>
                <w:szCs w:val="22"/>
              </w:rPr>
            </w:pPr>
            <w:r w:rsidRPr="00F6417D">
              <w:rPr>
                <w:b/>
                <w:bCs/>
                <w:sz w:val="22"/>
                <w:szCs w:val="22"/>
              </w:rPr>
              <w:t>Προσαρμοσμένες εύλογες δαπάνες διαβίωσης</w:t>
            </w:r>
          </w:p>
        </w:tc>
        <w:tc>
          <w:tcPr>
            <w:tcW w:w="2141" w:type="dxa"/>
            <w:shd w:val="clear" w:color="auto" w:fill="DBE5F1" w:themeFill="accent1" w:themeFillTint="33"/>
            <w:vAlign w:val="center"/>
          </w:tcPr>
          <w:p w14:paraId="1FCE3304" w14:textId="77777777" w:rsidR="00F6417D" w:rsidRPr="00F6417D" w:rsidRDefault="00F6417D" w:rsidP="00A64EB1">
            <w:pPr>
              <w:spacing w:before="120" w:after="120"/>
              <w:jc w:val="center"/>
              <w:rPr>
                <w:b/>
                <w:bCs/>
                <w:sz w:val="22"/>
                <w:szCs w:val="22"/>
              </w:rPr>
            </w:pPr>
            <w:r w:rsidRPr="00F6417D">
              <w:rPr>
                <w:b/>
                <w:bCs/>
                <w:sz w:val="22"/>
                <w:szCs w:val="22"/>
              </w:rPr>
              <w:t>Έτος 2023</w:t>
            </w:r>
          </w:p>
        </w:tc>
      </w:tr>
      <w:tr w:rsidR="00F6417D" w:rsidRPr="00F6417D" w14:paraId="2BF61F7D" w14:textId="77777777" w:rsidTr="0033466F">
        <w:trPr>
          <w:trHeight w:val="249"/>
          <w:jc w:val="center"/>
        </w:trPr>
        <w:tc>
          <w:tcPr>
            <w:tcW w:w="5400" w:type="dxa"/>
            <w:vAlign w:val="center"/>
          </w:tcPr>
          <w:p w14:paraId="2BA32E92" w14:textId="77777777" w:rsidR="00F6417D" w:rsidRPr="00F6417D" w:rsidRDefault="00F6417D" w:rsidP="00F6417D">
            <w:pPr>
              <w:spacing w:before="120" w:after="120"/>
              <w:jc w:val="both"/>
              <w:rPr>
                <w:sz w:val="22"/>
                <w:szCs w:val="22"/>
              </w:rPr>
            </w:pPr>
            <w:r w:rsidRPr="00F6417D">
              <w:rPr>
                <w:b/>
                <w:bCs/>
                <w:sz w:val="22"/>
                <w:szCs w:val="22"/>
              </w:rPr>
              <w:t xml:space="preserve">Ένας ενήλικας </w:t>
            </w:r>
          </w:p>
        </w:tc>
        <w:tc>
          <w:tcPr>
            <w:tcW w:w="2141" w:type="dxa"/>
            <w:vAlign w:val="bottom"/>
          </w:tcPr>
          <w:p w14:paraId="2E3E6D5C" w14:textId="77777777" w:rsidR="00F6417D" w:rsidRPr="00F6417D" w:rsidRDefault="00F6417D" w:rsidP="00A64EB1">
            <w:pPr>
              <w:spacing w:before="120" w:after="120"/>
              <w:jc w:val="center"/>
              <w:rPr>
                <w:sz w:val="22"/>
                <w:szCs w:val="22"/>
              </w:rPr>
            </w:pPr>
            <w:r w:rsidRPr="00F6417D">
              <w:rPr>
                <w:sz w:val="22"/>
                <w:szCs w:val="22"/>
              </w:rPr>
              <w:t>8.567 €</w:t>
            </w:r>
          </w:p>
        </w:tc>
      </w:tr>
      <w:tr w:rsidR="00F6417D" w:rsidRPr="00F6417D" w14:paraId="6DD1730B" w14:textId="77777777" w:rsidTr="0033466F">
        <w:trPr>
          <w:trHeight w:val="261"/>
          <w:jc w:val="center"/>
        </w:trPr>
        <w:tc>
          <w:tcPr>
            <w:tcW w:w="5400" w:type="dxa"/>
            <w:vAlign w:val="center"/>
          </w:tcPr>
          <w:p w14:paraId="1C22D9AD" w14:textId="77777777" w:rsidR="00F6417D" w:rsidRPr="00F6417D" w:rsidRDefault="00F6417D" w:rsidP="00F6417D">
            <w:pPr>
              <w:spacing w:before="120" w:after="120"/>
              <w:jc w:val="both"/>
              <w:rPr>
                <w:sz w:val="22"/>
                <w:szCs w:val="22"/>
              </w:rPr>
            </w:pPr>
            <w:r w:rsidRPr="00F6417D">
              <w:rPr>
                <w:b/>
                <w:bCs/>
                <w:sz w:val="22"/>
                <w:szCs w:val="22"/>
              </w:rPr>
              <w:lastRenderedPageBreak/>
              <w:t>Δύο ενήλικες</w:t>
            </w:r>
          </w:p>
        </w:tc>
        <w:tc>
          <w:tcPr>
            <w:tcW w:w="2141" w:type="dxa"/>
            <w:vAlign w:val="bottom"/>
          </w:tcPr>
          <w:p w14:paraId="00057E78" w14:textId="77777777" w:rsidR="00F6417D" w:rsidRPr="00F6417D" w:rsidRDefault="00F6417D" w:rsidP="00A64EB1">
            <w:pPr>
              <w:spacing w:before="120" w:after="120"/>
              <w:jc w:val="center"/>
              <w:rPr>
                <w:sz w:val="22"/>
                <w:szCs w:val="22"/>
              </w:rPr>
            </w:pPr>
            <w:r w:rsidRPr="00F6417D">
              <w:rPr>
                <w:sz w:val="22"/>
                <w:szCs w:val="22"/>
              </w:rPr>
              <w:t>14.437 €</w:t>
            </w:r>
          </w:p>
        </w:tc>
      </w:tr>
      <w:tr w:rsidR="00F6417D" w:rsidRPr="00F6417D" w14:paraId="1D97E78E" w14:textId="77777777" w:rsidTr="0033466F">
        <w:trPr>
          <w:trHeight w:val="249"/>
          <w:jc w:val="center"/>
        </w:trPr>
        <w:tc>
          <w:tcPr>
            <w:tcW w:w="5400" w:type="dxa"/>
            <w:vAlign w:val="center"/>
          </w:tcPr>
          <w:p w14:paraId="173768B5" w14:textId="77777777" w:rsidR="00F6417D" w:rsidRPr="00F6417D" w:rsidRDefault="00F6417D" w:rsidP="00F6417D">
            <w:pPr>
              <w:spacing w:before="120" w:after="120"/>
              <w:jc w:val="both"/>
              <w:rPr>
                <w:sz w:val="22"/>
                <w:szCs w:val="22"/>
              </w:rPr>
            </w:pPr>
            <w:r w:rsidRPr="00F6417D">
              <w:rPr>
                <w:b/>
                <w:bCs/>
                <w:sz w:val="22"/>
                <w:szCs w:val="22"/>
              </w:rPr>
              <w:t>Πολλαπλασιαστής εξαρτώμενων τέκνων</w:t>
            </w:r>
          </w:p>
        </w:tc>
        <w:tc>
          <w:tcPr>
            <w:tcW w:w="2141" w:type="dxa"/>
            <w:vAlign w:val="bottom"/>
          </w:tcPr>
          <w:p w14:paraId="43B8A4D2" w14:textId="77777777" w:rsidR="00F6417D" w:rsidRPr="00F6417D" w:rsidRDefault="00F6417D" w:rsidP="00A64EB1">
            <w:pPr>
              <w:spacing w:before="120" w:after="120"/>
              <w:jc w:val="center"/>
              <w:rPr>
                <w:sz w:val="22"/>
                <w:szCs w:val="22"/>
              </w:rPr>
            </w:pPr>
            <w:r w:rsidRPr="00F6417D">
              <w:rPr>
                <w:sz w:val="22"/>
                <w:szCs w:val="22"/>
              </w:rPr>
              <w:t>3.518 €</w:t>
            </w:r>
          </w:p>
        </w:tc>
      </w:tr>
      <w:tr w:rsidR="00F6417D" w:rsidRPr="00F6417D" w14:paraId="0DCB761A" w14:textId="77777777" w:rsidTr="0033466F">
        <w:trPr>
          <w:trHeight w:val="249"/>
          <w:jc w:val="center"/>
        </w:trPr>
        <w:tc>
          <w:tcPr>
            <w:tcW w:w="5400" w:type="dxa"/>
            <w:vAlign w:val="center"/>
          </w:tcPr>
          <w:p w14:paraId="679AEF33" w14:textId="77777777" w:rsidR="00F6417D" w:rsidRPr="00F6417D" w:rsidRDefault="00F6417D" w:rsidP="00F6417D">
            <w:pPr>
              <w:spacing w:before="120" w:after="120"/>
              <w:jc w:val="both"/>
              <w:rPr>
                <w:sz w:val="22"/>
                <w:szCs w:val="22"/>
              </w:rPr>
            </w:pPr>
            <w:r w:rsidRPr="00F6417D">
              <w:rPr>
                <w:b/>
                <w:bCs/>
                <w:sz w:val="22"/>
                <w:szCs w:val="22"/>
              </w:rPr>
              <w:t>Πολλαπλασιαστής επιπλέον εξαρτώμενων ενηλίκων</w:t>
            </w:r>
          </w:p>
        </w:tc>
        <w:tc>
          <w:tcPr>
            <w:tcW w:w="2141" w:type="dxa"/>
            <w:vAlign w:val="bottom"/>
          </w:tcPr>
          <w:p w14:paraId="3DD775B5" w14:textId="77777777" w:rsidR="00F6417D" w:rsidRPr="00F6417D" w:rsidRDefault="00F6417D" w:rsidP="00A64EB1">
            <w:pPr>
              <w:spacing w:before="120" w:after="120"/>
              <w:jc w:val="center"/>
              <w:rPr>
                <w:sz w:val="22"/>
                <w:szCs w:val="22"/>
              </w:rPr>
            </w:pPr>
            <w:r w:rsidRPr="00F6417D">
              <w:rPr>
                <w:sz w:val="22"/>
                <w:szCs w:val="22"/>
              </w:rPr>
              <w:t>3.318 €</w:t>
            </w:r>
          </w:p>
        </w:tc>
      </w:tr>
    </w:tbl>
    <w:p w14:paraId="655ED2E5" w14:textId="77777777" w:rsidR="00F6417D" w:rsidRDefault="00F6417D" w:rsidP="00AC4376">
      <w:pPr>
        <w:spacing w:before="120" w:after="120"/>
        <w:jc w:val="both"/>
      </w:pPr>
    </w:p>
    <w:p w14:paraId="6EB2DC5A" w14:textId="406D8346" w:rsidR="00F72E8D" w:rsidRDefault="00F72E8D" w:rsidP="00AC4376">
      <w:pPr>
        <w:spacing w:before="120" w:after="120"/>
        <w:jc w:val="both"/>
      </w:pPr>
      <w:bookmarkStart w:id="9" w:name="_Hlk202448947"/>
      <w:r w:rsidRPr="00B9307B">
        <w:t xml:space="preserve">Οι </w:t>
      </w:r>
      <w:r w:rsidR="00AC4376" w:rsidRPr="00B9307B">
        <w:t xml:space="preserve">απαιτούμενες </w:t>
      </w:r>
      <w:r w:rsidRPr="00B9307B">
        <w:t xml:space="preserve">ενεργειακές ανάγκες </w:t>
      </w:r>
      <w:r w:rsidR="00AC4376" w:rsidRPr="00B9307B">
        <w:t xml:space="preserve">του νοικοκυριού, εκφρασμένες σε </w:t>
      </w:r>
      <w:r w:rsidR="00DA4433" w:rsidRPr="00B9307B">
        <w:t xml:space="preserve">τελική </w:t>
      </w:r>
      <w:r w:rsidR="00AC4376" w:rsidRPr="00B9307B">
        <w:t>ενέργεια,</w:t>
      </w:r>
      <w:r w:rsidRPr="00B9307B">
        <w:t xml:space="preserve"> </w:t>
      </w:r>
      <w:r w:rsidR="00234732" w:rsidRPr="00B9307B">
        <w:t xml:space="preserve">εξάγονται </w:t>
      </w:r>
      <w:r w:rsidRPr="00B9307B">
        <w:t>με βάση τα δεδομένα των ΠΕΑ</w:t>
      </w:r>
      <w:r w:rsidR="00373B6C" w:rsidRPr="00B9307B">
        <w:t>,</w:t>
      </w:r>
      <w:r w:rsidRPr="00B9307B">
        <w:t xml:space="preserve"> λαμβάνοντα</w:t>
      </w:r>
      <w:r w:rsidR="00C967E1" w:rsidRPr="00B9307B">
        <w:t>ς</w:t>
      </w:r>
      <w:r w:rsidRPr="006A5A84">
        <w:t xml:space="preserve"> υπόψη</w:t>
      </w:r>
      <w:r w:rsidR="00B17758">
        <w:t xml:space="preserve"> δεδομένα όπως είναι η κ</w:t>
      </w:r>
      <w:r w:rsidR="00AC4376">
        <w:t>λιματική ζώνη, το εί</w:t>
      </w:r>
      <w:r>
        <w:t>δος κατοικίας (μονοκατοικία, πολυκατοικία)</w:t>
      </w:r>
      <w:r w:rsidR="00AC4376">
        <w:t>, το έτος κατασκευής</w:t>
      </w:r>
      <w:r w:rsidR="00A70225" w:rsidRPr="00513CC8">
        <w:t>,</w:t>
      </w:r>
      <w:r w:rsidR="00C821F0">
        <w:t xml:space="preserve"> </w:t>
      </w:r>
      <w:r w:rsidR="00B17758">
        <w:t>η</w:t>
      </w:r>
      <w:r w:rsidR="00AC4376">
        <w:t xml:space="preserve"> επιφάνεια του κτιρίου </w:t>
      </w:r>
      <w:r w:rsidR="00373B6C">
        <w:t>ό</w:t>
      </w:r>
      <w:r w:rsidR="00AC4376">
        <w:t xml:space="preserve">που </w:t>
      </w:r>
      <w:r>
        <w:t>διαμένει το νοικοκυριό</w:t>
      </w:r>
      <w:r w:rsidR="00A70225" w:rsidRPr="00513CC8">
        <w:t xml:space="preserve">, </w:t>
      </w:r>
      <w:r w:rsidR="00A70225">
        <w:t>καθώς και τα χρησιμοποιούμενα συστήματα θέρμανσης</w:t>
      </w:r>
      <w:r>
        <w:t>.</w:t>
      </w:r>
    </w:p>
    <w:p w14:paraId="5EBC4B73" w14:textId="3287CB5A" w:rsidR="00F72E8D" w:rsidRDefault="00AC4376" w:rsidP="00F72E8D">
      <w:pPr>
        <w:spacing w:before="120" w:after="120"/>
        <w:jc w:val="both"/>
      </w:pPr>
      <w:r>
        <w:t xml:space="preserve">Επισημαίνεται ότι οι απαιτούμενες </w:t>
      </w:r>
      <w:r w:rsidRPr="006A5A84">
        <w:t xml:space="preserve">ενεργειακές ανάγκες της κατοικίας </w:t>
      </w:r>
      <w:r w:rsidR="00F72E8D" w:rsidRPr="006A5A84">
        <w:t xml:space="preserve">διακρίνονται </w:t>
      </w:r>
      <w:r w:rsidR="00B17758">
        <w:t xml:space="preserve">σε διαφορετικές χρήσεις (θέρμανση χώρων, ψύξη χώρων και παραγωγή </w:t>
      </w:r>
      <w:r w:rsidR="00F72E8D" w:rsidRPr="006A5A84">
        <w:t>ζεστού νερού</w:t>
      </w:r>
      <w:r w:rsidR="00B17758">
        <w:t>).</w:t>
      </w:r>
    </w:p>
    <w:bookmarkEnd w:id="9"/>
    <w:p w14:paraId="6D820FF6" w14:textId="6AA2D346" w:rsidR="00F72E8D" w:rsidRDefault="00207B69" w:rsidP="00207B69">
      <w:pPr>
        <w:spacing w:before="120" w:after="120"/>
        <w:jc w:val="both"/>
      </w:pPr>
      <w:r>
        <w:t xml:space="preserve">Στο τέλος προστίθεται η κατανάλωση </w:t>
      </w:r>
      <w:r w:rsidR="00F72E8D" w:rsidRPr="006A5A84">
        <w:t>ηλεκτρική</w:t>
      </w:r>
      <w:r w:rsidR="00E11323">
        <w:t>ς</w:t>
      </w:r>
      <w:r w:rsidR="00F72E8D" w:rsidRPr="006A5A84">
        <w:t xml:space="preserve"> ενέργεια</w:t>
      </w:r>
      <w:r w:rsidR="00E11323">
        <w:t>ς</w:t>
      </w:r>
      <w:r>
        <w:t xml:space="preserve"> των</w:t>
      </w:r>
      <w:r w:rsidR="00F72E8D" w:rsidRPr="006A5A84">
        <w:t xml:space="preserve"> λοιπών χρήσεων </w:t>
      </w:r>
      <w:r w:rsidR="00F371B8">
        <w:t>σύμφωνα με τις εκτιμήσεις</w:t>
      </w:r>
      <w:r>
        <w:t xml:space="preserve"> της βάσης δεδομένων </w:t>
      </w:r>
      <w:r w:rsidR="00F72E8D" w:rsidRPr="009A37E6">
        <w:rPr>
          <w:lang w:val="en-US"/>
        </w:rPr>
        <w:t>IDEES</w:t>
      </w:r>
      <w:r>
        <w:t xml:space="preserve"> για την Ελλάδα και υπολογίζονται οι απαιτούμενες </w:t>
      </w:r>
      <w:r w:rsidRPr="006A5A84">
        <w:t>ενεργειακές δαπάνες του νοικοκυριού</w:t>
      </w:r>
      <w:r w:rsidR="00373B6C">
        <w:t>,</w:t>
      </w:r>
      <w:r>
        <w:t xml:space="preserve"> </w:t>
      </w:r>
      <w:r w:rsidR="00E11323">
        <w:t>λαμβάνοντας υπόψη</w:t>
      </w:r>
      <w:r>
        <w:t xml:space="preserve"> τις τρέχουσες </w:t>
      </w:r>
      <w:r w:rsidR="00F72E8D" w:rsidRPr="006A5A84">
        <w:t xml:space="preserve">τιμές των ενεργειακών προϊόντων </w:t>
      </w:r>
      <w:r>
        <w:t xml:space="preserve">που </w:t>
      </w:r>
      <w:r w:rsidR="00C967E1">
        <w:t xml:space="preserve">υπεισέρχονται </w:t>
      </w:r>
      <w:r>
        <w:t>στον υπολογισμό.</w:t>
      </w:r>
    </w:p>
    <w:p w14:paraId="6DC2C943" w14:textId="7987417D" w:rsidR="00725AED" w:rsidRDefault="00725AED" w:rsidP="00725AED">
      <w:pPr>
        <w:spacing w:before="120" w:after="120"/>
        <w:jc w:val="both"/>
      </w:pPr>
      <w:r>
        <w:t xml:space="preserve">Στον Πίνακα </w:t>
      </w:r>
      <w:r w:rsidR="00677626">
        <w:t>2</w:t>
      </w:r>
      <w:r>
        <w:t xml:space="preserve"> παρουσιάζεται </w:t>
      </w:r>
      <w:r w:rsidR="00EC18E9">
        <w:t xml:space="preserve">η εξέλιξη </w:t>
      </w:r>
      <w:r w:rsidR="00EE62A1">
        <w:t xml:space="preserve">τόσο </w:t>
      </w:r>
      <w:r w:rsidR="00EC18E9">
        <w:t>του αναθεωρημένου Δείκτη Ι-ΙΙ</w:t>
      </w:r>
      <w:r w:rsidR="00B12E4A" w:rsidRPr="00A64EB1">
        <w:rPr>
          <w:vertAlign w:val="subscript"/>
        </w:rPr>
        <w:t>2025</w:t>
      </w:r>
      <w:r w:rsidR="00B12E4A">
        <w:t xml:space="preserve"> και του Δείκτη Ι-ΙΙ</w:t>
      </w:r>
      <w:r w:rsidR="00B12E4A" w:rsidRPr="00F371B8">
        <w:rPr>
          <w:vertAlign w:val="subscript"/>
          <w:lang w:val="en-US"/>
        </w:rPr>
        <w:t>eq</w:t>
      </w:r>
      <w:r w:rsidR="00B12E4A">
        <w:t xml:space="preserve"> </w:t>
      </w:r>
      <w:r w:rsidR="00911607">
        <w:t>για την περίοδο 2016-2023.</w:t>
      </w:r>
    </w:p>
    <w:p w14:paraId="12BDF8CE" w14:textId="6FA0B312" w:rsidR="00911607" w:rsidRPr="00863598" w:rsidRDefault="00911607" w:rsidP="00911607">
      <w:pPr>
        <w:pStyle w:val="a7"/>
        <w:keepNext/>
        <w:jc w:val="center"/>
        <w:rPr>
          <w:sz w:val="22"/>
          <w:szCs w:val="22"/>
        </w:rPr>
      </w:pPr>
      <w:r w:rsidRPr="00C821F0">
        <w:rPr>
          <w:color w:val="auto"/>
          <w:sz w:val="22"/>
          <w:szCs w:val="22"/>
        </w:rPr>
        <w:t xml:space="preserve">Πίνακας </w:t>
      </w:r>
      <w:r w:rsidR="00677626">
        <w:rPr>
          <w:color w:val="auto"/>
          <w:sz w:val="22"/>
          <w:szCs w:val="22"/>
        </w:rPr>
        <w:t>2</w:t>
      </w:r>
      <w:r w:rsidRPr="00C821F0">
        <w:rPr>
          <w:color w:val="auto"/>
          <w:sz w:val="22"/>
          <w:szCs w:val="22"/>
        </w:rPr>
        <w:t>: Επίδοση Δείκτη Ι-ΙΙ</w:t>
      </w:r>
      <w:r w:rsidR="00C6785F" w:rsidRPr="00C6785F">
        <w:rPr>
          <w:color w:val="auto"/>
          <w:sz w:val="22"/>
          <w:szCs w:val="22"/>
          <w:vertAlign w:val="subscript"/>
        </w:rPr>
        <w:t>2025</w:t>
      </w:r>
      <w:r w:rsidRPr="00C821F0">
        <w:rPr>
          <w:color w:val="auto"/>
          <w:sz w:val="22"/>
          <w:szCs w:val="22"/>
        </w:rPr>
        <w:t xml:space="preserve"> </w:t>
      </w:r>
      <w:r w:rsidR="009E7182">
        <w:rPr>
          <w:color w:val="auto"/>
          <w:sz w:val="22"/>
          <w:szCs w:val="22"/>
        </w:rPr>
        <w:t xml:space="preserve">και </w:t>
      </w:r>
      <w:r w:rsidR="009E7182" w:rsidRPr="00A64EB1">
        <w:rPr>
          <w:color w:val="auto"/>
          <w:sz w:val="22"/>
          <w:szCs w:val="22"/>
        </w:rPr>
        <w:t>Δείκτη Ι-ΙΙ</w:t>
      </w:r>
      <w:r w:rsidR="009E7182" w:rsidRPr="00A64EB1">
        <w:rPr>
          <w:color w:val="auto"/>
          <w:sz w:val="22"/>
          <w:szCs w:val="22"/>
          <w:vertAlign w:val="subscript"/>
        </w:rPr>
        <w:t>eq</w:t>
      </w:r>
      <w:r w:rsidR="009E7182" w:rsidRPr="00A64EB1">
        <w:rPr>
          <w:color w:val="auto"/>
          <w:sz w:val="22"/>
          <w:szCs w:val="22"/>
        </w:rPr>
        <w:t xml:space="preserve"> </w:t>
      </w:r>
      <w:r w:rsidRPr="00C821F0">
        <w:rPr>
          <w:color w:val="auto"/>
          <w:sz w:val="22"/>
          <w:szCs w:val="22"/>
        </w:rPr>
        <w:t>σε εθνικό επίπεδο την περίοδο 2016-2023.</w:t>
      </w:r>
    </w:p>
    <w:tbl>
      <w:tblPr>
        <w:tblW w:w="6974" w:type="dxa"/>
        <w:jc w:val="center"/>
        <w:tblLayout w:type="fixed"/>
        <w:tblLook w:val="00A0" w:firstRow="1" w:lastRow="0" w:firstColumn="1" w:lastColumn="0" w:noHBand="0" w:noVBand="0"/>
      </w:tblPr>
      <w:tblGrid>
        <w:gridCol w:w="2065"/>
        <w:gridCol w:w="2454"/>
        <w:gridCol w:w="2455"/>
      </w:tblGrid>
      <w:tr w:rsidR="00EE62A1" w:rsidRPr="00D155BA" w14:paraId="3178C193" w14:textId="77777777" w:rsidTr="00A64EB1">
        <w:trPr>
          <w:trHeight w:val="52"/>
          <w:tblHeader/>
          <w:jc w:val="center"/>
        </w:trPr>
        <w:tc>
          <w:tcPr>
            <w:tcW w:w="2065" w:type="dxa"/>
            <w:tcBorders>
              <w:top w:val="single" w:sz="4" w:space="0" w:color="000000"/>
              <w:left w:val="single" w:sz="4" w:space="0" w:color="000000"/>
              <w:right w:val="nil"/>
            </w:tcBorders>
            <w:shd w:val="clear" w:color="auto" w:fill="DBE5F1" w:themeFill="accent1" w:themeFillTint="33"/>
            <w:noWrap/>
            <w:vAlign w:val="center"/>
          </w:tcPr>
          <w:p w14:paraId="37432ECB" w14:textId="4CC197B8" w:rsidR="00EE62A1" w:rsidRPr="003F221C" w:rsidRDefault="00EE62A1" w:rsidP="00C6785F">
            <w:pPr>
              <w:spacing w:after="0" w:line="240" w:lineRule="auto"/>
              <w:jc w:val="center"/>
              <w:rPr>
                <w:b/>
                <w:bCs/>
                <w:color w:val="000000"/>
                <w:lang w:eastAsia="el-GR"/>
              </w:rPr>
            </w:pPr>
            <w:r>
              <w:rPr>
                <w:b/>
                <w:bCs/>
                <w:color w:val="000000"/>
                <w:lang w:eastAsia="el-GR"/>
              </w:rPr>
              <w:t>Έτος</w:t>
            </w:r>
          </w:p>
        </w:tc>
        <w:tc>
          <w:tcPr>
            <w:tcW w:w="2454" w:type="dxa"/>
            <w:tcBorders>
              <w:top w:val="single" w:sz="4" w:space="0" w:color="auto"/>
              <w:left w:val="single" w:sz="4" w:space="0" w:color="auto"/>
              <w:right w:val="single" w:sz="4" w:space="0" w:color="auto"/>
            </w:tcBorders>
            <w:shd w:val="clear" w:color="auto" w:fill="DBE5F1" w:themeFill="accent1" w:themeFillTint="33"/>
          </w:tcPr>
          <w:p w14:paraId="0AB4B3B9" w14:textId="28BAEB7C" w:rsidR="00EE62A1" w:rsidRPr="00EE62A1" w:rsidRDefault="00EE62A1" w:rsidP="00C6785F">
            <w:pPr>
              <w:spacing w:after="0" w:line="240" w:lineRule="auto"/>
              <w:jc w:val="center"/>
              <w:rPr>
                <w:b/>
                <w:bCs/>
              </w:rPr>
            </w:pPr>
            <w:r w:rsidRPr="00A64EB1">
              <w:t>Δείκτης Ι-ΙΙ</w:t>
            </w:r>
            <w:r w:rsidRPr="00A64EB1">
              <w:rPr>
                <w:vertAlign w:val="subscript"/>
                <w:lang w:val="en-US"/>
              </w:rPr>
              <w:t>eq</w:t>
            </w:r>
          </w:p>
        </w:tc>
        <w:tc>
          <w:tcPr>
            <w:tcW w:w="2455" w:type="dxa"/>
            <w:tcBorders>
              <w:top w:val="single" w:sz="4" w:space="0" w:color="auto"/>
              <w:left w:val="single" w:sz="4" w:space="0" w:color="auto"/>
              <w:right w:val="single" w:sz="4" w:space="0" w:color="auto"/>
            </w:tcBorders>
            <w:shd w:val="clear" w:color="auto" w:fill="DBE5F1" w:themeFill="accent1" w:themeFillTint="33"/>
          </w:tcPr>
          <w:p w14:paraId="5EC3E859" w14:textId="7A89920B" w:rsidR="00EE62A1" w:rsidRPr="00911607" w:rsidRDefault="00EE62A1" w:rsidP="00C6785F">
            <w:pPr>
              <w:spacing w:after="0" w:line="240" w:lineRule="auto"/>
              <w:jc w:val="center"/>
              <w:rPr>
                <w:b/>
                <w:bCs/>
                <w:color w:val="000000"/>
                <w:lang w:eastAsia="el-GR"/>
              </w:rPr>
            </w:pPr>
            <w:r w:rsidRPr="00911607">
              <w:rPr>
                <w:b/>
                <w:bCs/>
              </w:rPr>
              <w:t>Δείκτης Ι-ΙΙ</w:t>
            </w:r>
            <w:r w:rsidRPr="0033466F">
              <w:rPr>
                <w:b/>
                <w:bCs/>
                <w:vertAlign w:val="subscript"/>
              </w:rPr>
              <w:t>2025</w:t>
            </w:r>
          </w:p>
        </w:tc>
      </w:tr>
      <w:tr w:rsidR="00AF42E0" w:rsidRPr="00D155BA" w14:paraId="57C73191" w14:textId="77777777" w:rsidTr="00A64EB1">
        <w:trPr>
          <w:trHeight w:val="270"/>
          <w:jc w:val="center"/>
        </w:trPr>
        <w:tc>
          <w:tcPr>
            <w:tcW w:w="2065" w:type="dxa"/>
            <w:tcBorders>
              <w:top w:val="single" w:sz="4" w:space="0" w:color="000000"/>
              <w:left w:val="single" w:sz="4" w:space="0" w:color="000000"/>
              <w:bottom w:val="single" w:sz="4" w:space="0" w:color="000000"/>
              <w:right w:val="nil"/>
            </w:tcBorders>
            <w:shd w:val="clear" w:color="auto" w:fill="FFFFFF"/>
            <w:noWrap/>
            <w:vAlign w:val="bottom"/>
          </w:tcPr>
          <w:p w14:paraId="00A6FA20" w14:textId="1AD8F0B2" w:rsidR="00AF42E0" w:rsidRPr="00911607" w:rsidRDefault="00AF42E0" w:rsidP="00AF42E0">
            <w:pPr>
              <w:spacing w:after="0" w:line="240" w:lineRule="auto"/>
              <w:jc w:val="center"/>
              <w:rPr>
                <w:b/>
                <w:bCs/>
                <w:color w:val="000000"/>
                <w:lang w:eastAsia="el-GR"/>
              </w:rPr>
            </w:pPr>
            <w:r w:rsidRPr="00911607">
              <w:rPr>
                <w:b/>
                <w:bCs/>
                <w:color w:val="000000"/>
                <w:lang w:eastAsia="el-GR"/>
              </w:rPr>
              <w:t>2016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7C8BC85" w14:textId="60F8D65F" w:rsidR="00AF42E0" w:rsidRPr="009E7182" w:rsidRDefault="00AF42E0" w:rsidP="00AF42E0">
            <w:pPr>
              <w:spacing w:after="0" w:line="240" w:lineRule="auto"/>
              <w:jc w:val="center"/>
              <w:rPr>
                <w:color w:val="000000"/>
                <w:lang w:val="en-US"/>
              </w:rPr>
            </w:pPr>
            <w:r w:rsidRPr="00A64EB1">
              <w:rPr>
                <w:rFonts w:cstheme="minorHAnsi"/>
                <w:szCs w:val="24"/>
              </w:rPr>
              <w:t>13</w:t>
            </w:r>
            <w:r w:rsidRPr="00A64EB1">
              <w:rPr>
                <w:rFonts w:cstheme="minorHAnsi"/>
                <w:szCs w:val="24"/>
                <w:lang w:val="en-GB"/>
              </w:rPr>
              <w:t>,</w:t>
            </w:r>
            <w:r w:rsidRPr="00A64EB1">
              <w:rPr>
                <w:rFonts w:cstheme="minorHAnsi"/>
                <w:szCs w:val="24"/>
              </w:rPr>
              <w:t>8%</w:t>
            </w:r>
          </w:p>
        </w:tc>
        <w:tc>
          <w:tcPr>
            <w:tcW w:w="2455" w:type="dxa"/>
            <w:tcBorders>
              <w:top w:val="single" w:sz="4" w:space="0" w:color="auto"/>
              <w:left w:val="single" w:sz="4" w:space="0" w:color="auto"/>
              <w:bottom w:val="single" w:sz="4" w:space="0" w:color="auto"/>
              <w:right w:val="single" w:sz="4" w:space="0" w:color="auto"/>
            </w:tcBorders>
            <w:shd w:val="clear" w:color="auto" w:fill="FFFFFF"/>
          </w:tcPr>
          <w:p w14:paraId="7BAA20CE" w14:textId="515F8045" w:rsidR="00AF42E0" w:rsidRPr="007C64CC" w:rsidRDefault="00AF42E0" w:rsidP="00AF42E0">
            <w:pPr>
              <w:spacing w:after="0" w:line="240" w:lineRule="auto"/>
              <w:jc w:val="center"/>
              <w:rPr>
                <w:color w:val="000000"/>
                <w:lang w:val="en-US"/>
              </w:rPr>
            </w:pPr>
            <w:r>
              <w:rPr>
                <w:color w:val="000000"/>
                <w:lang w:val="en-US"/>
              </w:rPr>
              <w:t>15,9%</w:t>
            </w:r>
          </w:p>
        </w:tc>
      </w:tr>
      <w:tr w:rsidR="00AF42E0" w:rsidRPr="00D155BA" w14:paraId="38106AB4"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center"/>
          </w:tcPr>
          <w:p w14:paraId="0FC5732A" w14:textId="472F9DA0" w:rsidR="00AF42E0" w:rsidRPr="00911607" w:rsidRDefault="00AF42E0" w:rsidP="00AF42E0">
            <w:pPr>
              <w:spacing w:after="0" w:line="240" w:lineRule="auto"/>
              <w:jc w:val="center"/>
              <w:rPr>
                <w:b/>
                <w:bCs/>
                <w:color w:val="000000"/>
                <w:lang w:eastAsia="el-GR"/>
              </w:rPr>
            </w:pPr>
            <w:r w:rsidRPr="003F221C">
              <w:rPr>
                <w:b/>
                <w:bCs/>
                <w:color w:val="000000"/>
                <w:lang w:eastAsia="el-GR"/>
              </w:rPr>
              <w:t>2017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6BCD815" w14:textId="4544E98E" w:rsidR="00AF42E0" w:rsidRPr="009E7182" w:rsidRDefault="00AF42E0" w:rsidP="00AF42E0">
            <w:pPr>
              <w:spacing w:after="0" w:line="240" w:lineRule="auto"/>
              <w:jc w:val="center"/>
              <w:rPr>
                <w:color w:val="000000"/>
              </w:rPr>
            </w:pPr>
            <w:r w:rsidRPr="00A64EB1">
              <w:rPr>
                <w:rFonts w:cstheme="minorHAnsi"/>
                <w:szCs w:val="24"/>
              </w:rPr>
              <w:t>12</w:t>
            </w:r>
            <w:r w:rsidRPr="00A64EB1">
              <w:rPr>
                <w:rFonts w:cstheme="minorHAnsi"/>
                <w:szCs w:val="24"/>
                <w:lang w:val="en-GB"/>
              </w:rPr>
              <w:t>,</w:t>
            </w:r>
            <w:r w:rsidRPr="00A64EB1">
              <w:rPr>
                <w:rFonts w:cstheme="minorHAnsi"/>
                <w:szCs w:val="24"/>
              </w:rPr>
              <w:t>5%</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0D96880A" w14:textId="4AF511E8" w:rsidR="00AF42E0" w:rsidRPr="00911607" w:rsidRDefault="00AF42E0" w:rsidP="00AF42E0">
            <w:pPr>
              <w:spacing w:after="0" w:line="240" w:lineRule="auto"/>
              <w:jc w:val="center"/>
              <w:rPr>
                <w:color w:val="000000"/>
              </w:rPr>
            </w:pPr>
            <w:r w:rsidRPr="003F221C">
              <w:rPr>
                <w:color w:val="000000"/>
              </w:rPr>
              <w:t>14,</w:t>
            </w:r>
            <w:r>
              <w:rPr>
                <w:color w:val="000000"/>
                <w:lang w:val="en-US"/>
              </w:rPr>
              <w:t>9</w:t>
            </w:r>
            <w:r w:rsidRPr="003F221C">
              <w:rPr>
                <w:color w:val="000000"/>
              </w:rPr>
              <w:t>%</w:t>
            </w:r>
          </w:p>
        </w:tc>
      </w:tr>
      <w:tr w:rsidR="00AF42E0" w:rsidRPr="00D155BA" w14:paraId="53CF245C"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center"/>
          </w:tcPr>
          <w:p w14:paraId="68DA3FDF" w14:textId="7CEDF0D5" w:rsidR="00AF42E0" w:rsidRPr="00911607" w:rsidRDefault="00AF42E0" w:rsidP="00AF42E0">
            <w:pPr>
              <w:spacing w:after="0" w:line="240" w:lineRule="auto"/>
              <w:jc w:val="center"/>
              <w:rPr>
                <w:b/>
                <w:bCs/>
                <w:color w:val="000000"/>
                <w:lang w:eastAsia="el-GR"/>
              </w:rPr>
            </w:pPr>
            <w:r w:rsidRPr="003F221C">
              <w:rPr>
                <w:b/>
                <w:bCs/>
                <w:color w:val="000000"/>
                <w:lang w:eastAsia="el-GR"/>
              </w:rPr>
              <w:t>2018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EBC7A4C" w14:textId="7FC0CDC4" w:rsidR="00AF42E0" w:rsidRPr="009E7182" w:rsidRDefault="00AF42E0" w:rsidP="00AF42E0">
            <w:pPr>
              <w:spacing w:after="0" w:line="240" w:lineRule="auto"/>
              <w:jc w:val="center"/>
              <w:rPr>
                <w:color w:val="000000"/>
              </w:rPr>
            </w:pPr>
            <w:r w:rsidRPr="00A64EB1">
              <w:rPr>
                <w:rFonts w:cstheme="minorHAnsi"/>
                <w:szCs w:val="24"/>
              </w:rPr>
              <w:t>11</w:t>
            </w:r>
            <w:r w:rsidRPr="00A64EB1">
              <w:rPr>
                <w:rFonts w:cstheme="minorHAnsi"/>
                <w:szCs w:val="24"/>
                <w:lang w:val="en-GB"/>
              </w:rPr>
              <w:t>,</w:t>
            </w:r>
            <w:r w:rsidRPr="00A64EB1">
              <w:rPr>
                <w:rFonts w:cstheme="minorHAnsi"/>
                <w:szCs w:val="24"/>
              </w:rPr>
              <w:t>1%</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534151DD" w14:textId="05BA7F90" w:rsidR="00AF42E0" w:rsidRPr="00911607" w:rsidRDefault="00AF42E0" w:rsidP="00AF42E0">
            <w:pPr>
              <w:spacing w:after="0" w:line="240" w:lineRule="auto"/>
              <w:jc w:val="center"/>
              <w:rPr>
                <w:color w:val="000000"/>
              </w:rPr>
            </w:pPr>
            <w:r w:rsidRPr="003F221C">
              <w:rPr>
                <w:color w:val="000000"/>
              </w:rPr>
              <w:t>14,2%</w:t>
            </w:r>
          </w:p>
        </w:tc>
      </w:tr>
      <w:tr w:rsidR="00AF42E0" w:rsidRPr="00D155BA" w14:paraId="1555B44B"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center"/>
          </w:tcPr>
          <w:p w14:paraId="4CB2B3F7" w14:textId="3EE77524" w:rsidR="00AF42E0" w:rsidRPr="00911607" w:rsidRDefault="00AF42E0" w:rsidP="00AF42E0">
            <w:pPr>
              <w:spacing w:after="0" w:line="240" w:lineRule="auto"/>
              <w:jc w:val="center"/>
              <w:rPr>
                <w:b/>
                <w:bCs/>
                <w:color w:val="000000"/>
                <w:lang w:eastAsia="el-GR"/>
              </w:rPr>
            </w:pPr>
            <w:r w:rsidRPr="003F221C">
              <w:rPr>
                <w:b/>
                <w:bCs/>
                <w:color w:val="000000"/>
                <w:lang w:eastAsia="el-GR"/>
              </w:rPr>
              <w:t>2019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C4126D8" w14:textId="22A2C899" w:rsidR="00AF42E0" w:rsidRPr="009E7182" w:rsidRDefault="00AF42E0" w:rsidP="00AF42E0">
            <w:pPr>
              <w:spacing w:after="0" w:line="240" w:lineRule="auto"/>
              <w:jc w:val="center"/>
              <w:rPr>
                <w:color w:val="000000"/>
              </w:rPr>
            </w:pPr>
            <w:r w:rsidRPr="00A64EB1">
              <w:rPr>
                <w:rFonts w:cstheme="minorHAnsi"/>
                <w:szCs w:val="24"/>
              </w:rPr>
              <w:t>11</w:t>
            </w:r>
            <w:r w:rsidRPr="00A64EB1">
              <w:rPr>
                <w:rFonts w:cstheme="minorHAnsi"/>
                <w:szCs w:val="24"/>
                <w:lang w:val="en-GB"/>
              </w:rPr>
              <w:t>,</w:t>
            </w:r>
            <w:r w:rsidRPr="00A64EB1">
              <w:rPr>
                <w:rFonts w:cstheme="minorHAnsi"/>
                <w:szCs w:val="24"/>
              </w:rPr>
              <w:t>2%</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571706DA" w14:textId="7FAC9E48" w:rsidR="00AF42E0" w:rsidRPr="00911607" w:rsidRDefault="00AF42E0" w:rsidP="00AF42E0">
            <w:pPr>
              <w:spacing w:after="0" w:line="240" w:lineRule="auto"/>
              <w:jc w:val="center"/>
              <w:rPr>
                <w:color w:val="000000"/>
              </w:rPr>
            </w:pPr>
            <w:r w:rsidRPr="003F221C">
              <w:rPr>
                <w:color w:val="000000"/>
              </w:rPr>
              <w:t>14,</w:t>
            </w:r>
            <w:r>
              <w:rPr>
                <w:color w:val="000000"/>
                <w:lang w:val="en-US"/>
              </w:rPr>
              <w:t>5</w:t>
            </w:r>
            <w:r w:rsidRPr="003F221C">
              <w:rPr>
                <w:color w:val="000000"/>
              </w:rPr>
              <w:t>%</w:t>
            </w:r>
          </w:p>
        </w:tc>
      </w:tr>
      <w:tr w:rsidR="00AF42E0" w:rsidRPr="00D155BA" w14:paraId="2CA1BC0A"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center"/>
          </w:tcPr>
          <w:p w14:paraId="13F25F11" w14:textId="14DDBB63" w:rsidR="00AF42E0" w:rsidRPr="00911607" w:rsidRDefault="00AF42E0" w:rsidP="00AF42E0">
            <w:pPr>
              <w:spacing w:after="0" w:line="240" w:lineRule="auto"/>
              <w:jc w:val="center"/>
              <w:rPr>
                <w:b/>
                <w:bCs/>
                <w:color w:val="000000"/>
                <w:lang w:eastAsia="el-GR"/>
              </w:rPr>
            </w:pPr>
            <w:r w:rsidRPr="003F221C">
              <w:rPr>
                <w:b/>
                <w:bCs/>
                <w:color w:val="000000"/>
                <w:lang w:eastAsia="el-GR"/>
              </w:rPr>
              <w:t>2020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16CE8FE" w14:textId="59F65ABD" w:rsidR="00AF42E0" w:rsidRPr="009E7182" w:rsidRDefault="00AF42E0" w:rsidP="00AF42E0">
            <w:pPr>
              <w:spacing w:after="0" w:line="240" w:lineRule="auto"/>
              <w:jc w:val="center"/>
              <w:rPr>
                <w:color w:val="000000"/>
              </w:rPr>
            </w:pPr>
            <w:r w:rsidRPr="00A64EB1">
              <w:rPr>
                <w:rFonts w:cstheme="minorHAnsi"/>
                <w:szCs w:val="24"/>
                <w:lang w:val="en-US"/>
              </w:rPr>
              <w:t>12,0</w:t>
            </w:r>
            <w:r w:rsidRPr="00A64EB1">
              <w:rPr>
                <w:rFonts w:cstheme="minorHAnsi"/>
                <w:szCs w:val="24"/>
              </w:rPr>
              <w:t>%</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1821C312" w14:textId="0A7BFB86" w:rsidR="00AF42E0" w:rsidRPr="00911607" w:rsidRDefault="00AF42E0" w:rsidP="00AF42E0">
            <w:pPr>
              <w:spacing w:after="0" w:line="240" w:lineRule="auto"/>
              <w:jc w:val="center"/>
              <w:rPr>
                <w:color w:val="000000"/>
              </w:rPr>
            </w:pPr>
            <w:r w:rsidRPr="003F221C">
              <w:rPr>
                <w:color w:val="000000"/>
              </w:rPr>
              <w:t>12,4%</w:t>
            </w:r>
          </w:p>
        </w:tc>
      </w:tr>
      <w:tr w:rsidR="00AF42E0" w:rsidRPr="00D155BA" w14:paraId="60CA515C"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center"/>
          </w:tcPr>
          <w:p w14:paraId="53B7A732" w14:textId="3ED93590" w:rsidR="00AF42E0" w:rsidRPr="00911607" w:rsidRDefault="00AF42E0" w:rsidP="00AF42E0">
            <w:pPr>
              <w:spacing w:after="0" w:line="240" w:lineRule="auto"/>
              <w:jc w:val="center"/>
              <w:rPr>
                <w:b/>
                <w:bCs/>
                <w:color w:val="000000"/>
                <w:lang w:eastAsia="el-GR"/>
              </w:rPr>
            </w:pPr>
            <w:r w:rsidRPr="003F221C">
              <w:rPr>
                <w:b/>
                <w:bCs/>
                <w:color w:val="000000"/>
                <w:lang w:eastAsia="el-GR"/>
              </w:rPr>
              <w:t>2021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BB6F5F1" w14:textId="5B03F799" w:rsidR="00AF42E0" w:rsidRPr="009E7182" w:rsidRDefault="00AF42E0" w:rsidP="00AF42E0">
            <w:pPr>
              <w:spacing w:after="0" w:line="240" w:lineRule="auto"/>
              <w:jc w:val="center"/>
              <w:rPr>
                <w:color w:val="000000"/>
              </w:rPr>
            </w:pPr>
            <w:r w:rsidRPr="00A64EB1">
              <w:rPr>
                <w:rFonts w:cstheme="minorHAnsi"/>
                <w:szCs w:val="24"/>
              </w:rPr>
              <w:t>12,4%</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18E8CA19" w14:textId="5A3343A5" w:rsidR="00AF42E0" w:rsidRPr="00911607" w:rsidRDefault="00AF42E0" w:rsidP="00AF42E0">
            <w:pPr>
              <w:spacing w:after="0" w:line="240" w:lineRule="auto"/>
              <w:jc w:val="center"/>
              <w:rPr>
                <w:color w:val="000000"/>
              </w:rPr>
            </w:pPr>
            <w:r w:rsidRPr="003F221C">
              <w:rPr>
                <w:color w:val="000000"/>
              </w:rPr>
              <w:t>12,4%</w:t>
            </w:r>
          </w:p>
        </w:tc>
      </w:tr>
      <w:tr w:rsidR="00EE62A1" w:rsidRPr="00D155BA" w14:paraId="6E5304DF"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center"/>
          </w:tcPr>
          <w:p w14:paraId="4CA033A0" w14:textId="19C9BF38" w:rsidR="00EE62A1" w:rsidRPr="00911607" w:rsidRDefault="00EE62A1" w:rsidP="00C6785F">
            <w:pPr>
              <w:spacing w:after="0" w:line="240" w:lineRule="auto"/>
              <w:jc w:val="center"/>
              <w:rPr>
                <w:b/>
                <w:bCs/>
                <w:color w:val="000000"/>
                <w:lang w:eastAsia="el-GR"/>
              </w:rPr>
            </w:pPr>
            <w:r w:rsidRPr="003F221C">
              <w:rPr>
                <w:b/>
                <w:bCs/>
                <w:color w:val="000000"/>
                <w:lang w:eastAsia="el-GR"/>
              </w:rPr>
              <w:t>2022</w:t>
            </w:r>
          </w:p>
        </w:tc>
        <w:tc>
          <w:tcPr>
            <w:tcW w:w="2454" w:type="dxa"/>
            <w:tcBorders>
              <w:top w:val="single" w:sz="4" w:space="0" w:color="auto"/>
              <w:left w:val="single" w:sz="4" w:space="0" w:color="auto"/>
              <w:bottom w:val="single" w:sz="4" w:space="0" w:color="auto"/>
              <w:right w:val="single" w:sz="4" w:space="0" w:color="auto"/>
            </w:tcBorders>
            <w:shd w:val="clear" w:color="auto" w:fill="FFFFFF"/>
          </w:tcPr>
          <w:p w14:paraId="45FC2DB0" w14:textId="77CED0BA" w:rsidR="00EE62A1" w:rsidRPr="00A64EB1" w:rsidRDefault="00EF2F99" w:rsidP="00C6785F">
            <w:pPr>
              <w:spacing w:after="0" w:line="240" w:lineRule="auto"/>
              <w:jc w:val="center"/>
              <w:rPr>
                <w:color w:val="000000"/>
                <w:lang w:val="en-US"/>
              </w:rPr>
            </w:pPr>
            <w:r>
              <w:rPr>
                <w:color w:val="000000"/>
                <w:lang w:val="en-US"/>
              </w:rPr>
              <w:t>11,8%</w:t>
            </w:r>
          </w:p>
        </w:tc>
        <w:tc>
          <w:tcPr>
            <w:tcW w:w="2455" w:type="dxa"/>
            <w:tcBorders>
              <w:top w:val="single" w:sz="4" w:space="0" w:color="auto"/>
              <w:left w:val="single" w:sz="4" w:space="0" w:color="auto"/>
              <w:bottom w:val="single" w:sz="4" w:space="0" w:color="auto"/>
              <w:right w:val="single" w:sz="4" w:space="0" w:color="auto"/>
            </w:tcBorders>
            <w:shd w:val="clear" w:color="auto" w:fill="FFFFFF"/>
            <w:vAlign w:val="center"/>
          </w:tcPr>
          <w:p w14:paraId="03605E95" w14:textId="3506190F" w:rsidR="00EE62A1" w:rsidRPr="00911607" w:rsidRDefault="00EE62A1" w:rsidP="00C6785F">
            <w:pPr>
              <w:spacing w:after="0" w:line="240" w:lineRule="auto"/>
              <w:jc w:val="center"/>
              <w:rPr>
                <w:color w:val="000000"/>
              </w:rPr>
            </w:pPr>
            <w:r w:rsidRPr="003F221C">
              <w:rPr>
                <w:color w:val="000000"/>
              </w:rPr>
              <w:t>12,4%</w:t>
            </w:r>
          </w:p>
        </w:tc>
      </w:tr>
      <w:tr w:rsidR="00EE62A1" w:rsidRPr="00D155BA" w14:paraId="669192DF" w14:textId="77777777" w:rsidTr="00A64EB1">
        <w:trPr>
          <w:trHeight w:val="270"/>
          <w:jc w:val="center"/>
        </w:trPr>
        <w:tc>
          <w:tcPr>
            <w:tcW w:w="2065" w:type="dxa"/>
            <w:tcBorders>
              <w:top w:val="nil"/>
              <w:left w:val="single" w:sz="4" w:space="0" w:color="000000"/>
              <w:bottom w:val="single" w:sz="4" w:space="0" w:color="000000"/>
              <w:right w:val="nil"/>
            </w:tcBorders>
            <w:shd w:val="clear" w:color="auto" w:fill="FFFFFF"/>
            <w:noWrap/>
            <w:vAlign w:val="bottom"/>
          </w:tcPr>
          <w:p w14:paraId="01EEC49E" w14:textId="703767E3" w:rsidR="00EE62A1" w:rsidRPr="00911607" w:rsidRDefault="00EE62A1" w:rsidP="00C6785F">
            <w:pPr>
              <w:spacing w:after="0" w:line="240" w:lineRule="auto"/>
              <w:jc w:val="center"/>
              <w:rPr>
                <w:b/>
                <w:bCs/>
                <w:color w:val="000000"/>
                <w:lang w:eastAsia="el-GR"/>
              </w:rPr>
            </w:pPr>
            <w:r w:rsidRPr="00911607">
              <w:rPr>
                <w:b/>
                <w:bCs/>
                <w:color w:val="000000"/>
                <w:lang w:eastAsia="el-GR"/>
              </w:rPr>
              <w:t>2023</w:t>
            </w:r>
          </w:p>
        </w:tc>
        <w:tc>
          <w:tcPr>
            <w:tcW w:w="2454" w:type="dxa"/>
            <w:tcBorders>
              <w:top w:val="single" w:sz="4" w:space="0" w:color="auto"/>
              <w:left w:val="single" w:sz="4" w:space="0" w:color="auto"/>
              <w:bottom w:val="single" w:sz="4" w:space="0" w:color="auto"/>
              <w:right w:val="single" w:sz="4" w:space="0" w:color="auto"/>
            </w:tcBorders>
            <w:shd w:val="clear" w:color="auto" w:fill="FFFFFF"/>
          </w:tcPr>
          <w:p w14:paraId="000437DB" w14:textId="1AE3307D" w:rsidR="00EE62A1" w:rsidRDefault="00E66F60" w:rsidP="00C6785F">
            <w:pPr>
              <w:spacing w:after="0" w:line="240" w:lineRule="auto"/>
              <w:jc w:val="center"/>
              <w:rPr>
                <w:color w:val="000000"/>
              </w:rPr>
            </w:pPr>
            <w:r>
              <w:rPr>
                <w:color w:val="000000"/>
              </w:rPr>
              <w:t>12,0%</w:t>
            </w:r>
          </w:p>
        </w:tc>
        <w:tc>
          <w:tcPr>
            <w:tcW w:w="2455" w:type="dxa"/>
            <w:tcBorders>
              <w:top w:val="single" w:sz="4" w:space="0" w:color="auto"/>
              <w:left w:val="single" w:sz="4" w:space="0" w:color="auto"/>
              <w:bottom w:val="single" w:sz="4" w:space="0" w:color="auto"/>
              <w:right w:val="single" w:sz="4" w:space="0" w:color="auto"/>
            </w:tcBorders>
            <w:shd w:val="clear" w:color="auto" w:fill="FFFFFF"/>
          </w:tcPr>
          <w:p w14:paraId="16CF524E" w14:textId="76719F96" w:rsidR="00EE62A1" w:rsidRPr="00911607" w:rsidRDefault="00EE62A1" w:rsidP="00C6785F">
            <w:pPr>
              <w:spacing w:after="0" w:line="240" w:lineRule="auto"/>
              <w:jc w:val="center"/>
              <w:rPr>
                <w:color w:val="000000"/>
              </w:rPr>
            </w:pPr>
            <w:r>
              <w:rPr>
                <w:color w:val="000000"/>
              </w:rPr>
              <w:t>12,6%</w:t>
            </w:r>
          </w:p>
        </w:tc>
      </w:tr>
    </w:tbl>
    <w:p w14:paraId="4581E6F4" w14:textId="77777777" w:rsidR="00C821F0" w:rsidRDefault="00C821F0" w:rsidP="00725AED">
      <w:pPr>
        <w:spacing w:before="120" w:after="120"/>
        <w:jc w:val="both"/>
      </w:pPr>
    </w:p>
    <w:p w14:paraId="104C3921" w14:textId="695BF1B6" w:rsidR="00911607" w:rsidRDefault="00C821F0" w:rsidP="00725AED">
      <w:pPr>
        <w:spacing w:before="120" w:after="120"/>
        <w:jc w:val="both"/>
      </w:pPr>
      <w:r>
        <w:t>Επιπρόσθετα, το Διάγραμμα 5 απεικονίζει τη συγκριτική αξιολόγηση</w:t>
      </w:r>
      <w:r w:rsidR="00E11323">
        <w:t>,</w:t>
      </w:r>
      <w:r>
        <w:t xml:space="preserve"> τόσο του αναθεωρημένου </w:t>
      </w:r>
      <w:r w:rsidR="00C6785F" w:rsidRPr="00C6785F">
        <w:t>Δείκτη Ι-ΙΙ</w:t>
      </w:r>
      <w:r w:rsidR="00C6785F" w:rsidRPr="00C6785F">
        <w:rPr>
          <w:vertAlign w:val="subscript"/>
        </w:rPr>
        <w:t>2025</w:t>
      </w:r>
      <w:r w:rsidR="00B12E4A">
        <w:rPr>
          <w:vertAlign w:val="subscript"/>
        </w:rPr>
        <w:t xml:space="preserve"> </w:t>
      </w:r>
      <w:r w:rsidR="00B12E4A">
        <w:t xml:space="preserve">και του </w:t>
      </w:r>
      <w:r w:rsidR="00B12E4A" w:rsidRPr="00C6785F">
        <w:t xml:space="preserve">Δείκτη </w:t>
      </w:r>
      <w:r w:rsidR="00B12E4A">
        <w:t>Ι-ΙΙ</w:t>
      </w:r>
      <w:r w:rsidR="00B12E4A" w:rsidRPr="00F371B8">
        <w:rPr>
          <w:vertAlign w:val="subscript"/>
          <w:lang w:val="en-US"/>
        </w:rPr>
        <w:t>eq</w:t>
      </w:r>
      <w:r w:rsidR="00C6785F" w:rsidRPr="00C6785F">
        <w:t xml:space="preserve">, </w:t>
      </w:r>
      <w:r>
        <w:t xml:space="preserve">όσο και των </w:t>
      </w:r>
      <w:r w:rsidRPr="00EC18E9">
        <w:t xml:space="preserve">δεικτών παρακολούθησης του φαινομένου ενεργειακής ένδειας στο πλαίσιο του Ευρωπαϊκού Παρατηρητηρίου για την Ενεργειακή Φτώχεια </w:t>
      </w:r>
      <w:r>
        <w:t xml:space="preserve">για την περίοδο 2016-2023. </w:t>
      </w:r>
    </w:p>
    <w:p w14:paraId="40C2FAE0" w14:textId="5D5F7F80" w:rsidR="00841694" w:rsidRDefault="00C821F0" w:rsidP="00C821F0">
      <w:pPr>
        <w:spacing w:before="120" w:after="120"/>
        <w:jc w:val="both"/>
      </w:pPr>
      <w:r>
        <w:t>Η ανάλυση των διαφόρων δεικτών οδήγησε στο συμπέρασμα ότι η επίδοση του Δείκτη Ι-ΙΙ</w:t>
      </w:r>
      <w:r w:rsidR="00C6785F" w:rsidRPr="00C6785F">
        <w:rPr>
          <w:vertAlign w:val="subscript"/>
        </w:rPr>
        <w:t>2025</w:t>
      </w:r>
      <w:r w:rsidR="00C6785F">
        <w:rPr>
          <w:vertAlign w:val="subscript"/>
        </w:rPr>
        <w:t xml:space="preserve"> </w:t>
      </w:r>
      <w:r>
        <w:t>εμφανίζει παρόμοια επίδοση με τους δείκτες 2Μ και Μ/2 του Ευρωπαϊκού Παρατηρη</w:t>
      </w:r>
      <w:r w:rsidR="00841694">
        <w:t>τη</w:t>
      </w:r>
      <w:r>
        <w:t>ρίου Ενεργειακής Φτώχειας.</w:t>
      </w:r>
    </w:p>
    <w:p w14:paraId="57304205" w14:textId="20E8C8B9" w:rsidR="00C821F0" w:rsidRDefault="00373B6C" w:rsidP="00C821F0">
      <w:pPr>
        <w:spacing w:before="120" w:after="120"/>
        <w:jc w:val="both"/>
      </w:pPr>
      <w:r>
        <w:t>Σύμφωνα με το Δείκτη Ι-</w:t>
      </w:r>
      <w:r w:rsidRPr="002B416E">
        <w:t>ΙΙ</w:t>
      </w:r>
      <w:r w:rsidR="00C6785F" w:rsidRPr="00C6785F">
        <w:rPr>
          <w:vertAlign w:val="subscript"/>
        </w:rPr>
        <w:t>2025</w:t>
      </w:r>
      <w:r>
        <w:t xml:space="preserve">, </w:t>
      </w:r>
      <w:r w:rsidR="00C821F0">
        <w:t xml:space="preserve"> το ποσοστό των </w:t>
      </w:r>
      <w:r>
        <w:t xml:space="preserve">ενεργειακά φτωχών </w:t>
      </w:r>
      <w:r w:rsidR="00C821F0">
        <w:t>νοικοκυριών</w:t>
      </w:r>
      <w:r w:rsidR="00C821F0" w:rsidRPr="00C3207A">
        <w:t xml:space="preserve"> </w:t>
      </w:r>
      <w:r w:rsidR="00C821F0">
        <w:t>το 2023 ισούται με 12,6% (μείωση της τάξεως του 21% σε σχέση με το 2016).</w:t>
      </w:r>
    </w:p>
    <w:p w14:paraId="6310B595" w14:textId="77777777" w:rsidR="00C821F0" w:rsidRPr="00F87E43" w:rsidRDefault="00C821F0" w:rsidP="00725AED">
      <w:pPr>
        <w:spacing w:before="120" w:after="120"/>
        <w:jc w:val="both"/>
      </w:pPr>
    </w:p>
    <w:p w14:paraId="46A4E36E" w14:textId="27A22DEF" w:rsidR="00AB17CC" w:rsidRDefault="00EF2F99" w:rsidP="00EB2197">
      <w:pPr>
        <w:spacing w:before="120" w:after="120"/>
        <w:jc w:val="both"/>
      </w:pPr>
      <w:r>
        <w:rPr>
          <w:noProof/>
        </w:rPr>
        <w:lastRenderedPageBreak/>
        <w:drawing>
          <wp:inline distT="0" distB="0" distL="0" distR="0" wp14:anchorId="7C18DA18" wp14:editId="0C4EA4BE">
            <wp:extent cx="5486400" cy="3981779"/>
            <wp:effectExtent l="0" t="0" r="0" b="0"/>
            <wp:docPr id="17017556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981779"/>
                    </a:xfrm>
                    <a:prstGeom prst="rect">
                      <a:avLst/>
                    </a:prstGeom>
                    <a:noFill/>
                  </pic:spPr>
                </pic:pic>
              </a:graphicData>
            </a:graphic>
          </wp:inline>
        </w:drawing>
      </w:r>
    </w:p>
    <w:p w14:paraId="70B4883C" w14:textId="2A6A494D" w:rsidR="00F54FAA" w:rsidRPr="00887F5D" w:rsidRDefault="00F54FAA" w:rsidP="00F54FAA">
      <w:pPr>
        <w:spacing w:before="120" w:after="120"/>
        <w:jc w:val="center"/>
        <w:rPr>
          <w:b/>
          <w:bCs/>
        </w:rPr>
      </w:pPr>
      <w:r w:rsidRPr="00C821F0">
        <w:rPr>
          <w:b/>
          <w:bCs/>
        </w:rPr>
        <w:t xml:space="preserve">Διάγραμμα </w:t>
      </w:r>
      <w:r w:rsidRPr="00C821F0">
        <w:rPr>
          <w:b/>
          <w:bCs/>
        </w:rPr>
        <w:fldChar w:fldCharType="begin"/>
      </w:r>
      <w:r w:rsidRPr="00C821F0">
        <w:rPr>
          <w:b/>
          <w:bCs/>
        </w:rPr>
        <w:instrText xml:space="preserve"> SEQ Figure \* ARABIC </w:instrText>
      </w:r>
      <w:r w:rsidRPr="00C821F0">
        <w:rPr>
          <w:b/>
          <w:bCs/>
        </w:rPr>
        <w:fldChar w:fldCharType="separate"/>
      </w:r>
      <w:r w:rsidR="00F027FB" w:rsidRPr="00C821F0">
        <w:rPr>
          <w:b/>
          <w:bCs/>
          <w:noProof/>
        </w:rPr>
        <w:t>5</w:t>
      </w:r>
      <w:r w:rsidRPr="00C821F0">
        <w:rPr>
          <w:b/>
          <w:bCs/>
        </w:rPr>
        <w:fldChar w:fldCharType="end"/>
      </w:r>
      <w:r w:rsidRPr="00C821F0">
        <w:rPr>
          <w:b/>
          <w:bCs/>
        </w:rPr>
        <w:t xml:space="preserve">: </w:t>
      </w:r>
      <w:r w:rsidR="00EC18E9" w:rsidRPr="00C821F0">
        <w:rPr>
          <w:b/>
          <w:bCs/>
        </w:rPr>
        <w:t>Εξέλιξη δεικτών παρακολούθησης του φαινομένου της ενεργειακής ένδειας</w:t>
      </w:r>
      <w:r w:rsidRPr="00C821F0">
        <w:rPr>
          <w:b/>
          <w:bCs/>
        </w:rPr>
        <w:t>.</w:t>
      </w:r>
    </w:p>
    <w:p w14:paraId="6002E032" w14:textId="77777777" w:rsidR="00AB17CC" w:rsidRDefault="00AB17CC" w:rsidP="00EB2197">
      <w:pPr>
        <w:spacing w:before="120" w:after="120"/>
        <w:jc w:val="both"/>
      </w:pPr>
    </w:p>
    <w:p w14:paraId="31B608FE" w14:textId="6AA7C483" w:rsidR="002C70FF" w:rsidRDefault="002C70FF" w:rsidP="00EB2197">
      <w:pPr>
        <w:spacing w:before="120" w:after="120"/>
        <w:jc w:val="both"/>
      </w:pPr>
      <w:r>
        <w:t>Δεδομένου ότι ο αριθμός των νοικοκυριών ανέρχεται σε 4,</w:t>
      </w:r>
      <w:r w:rsidR="00EC18E9">
        <w:t>3</w:t>
      </w:r>
      <w:r>
        <w:t xml:space="preserve"> εκατ. σύμφωνα με την Απογραφή του έτους 20</w:t>
      </w:r>
      <w:r w:rsidR="00EC18E9">
        <w:t>2</w:t>
      </w:r>
      <w:r>
        <w:t>1</w:t>
      </w:r>
      <w:r w:rsidR="006E04B1">
        <w:t>,</w:t>
      </w:r>
      <w:r>
        <w:t xml:space="preserve"> η επιλογή του συγκεκριμένου δείκτη οδηγεί στο συμπέρασμα ότι στόχος του συγκεκριμένου Σχεδίου Δράσης αποτελεί η υποστήριξη περίπου </w:t>
      </w:r>
      <w:r w:rsidR="00D361E2">
        <w:t>547 χιλιάδων</w:t>
      </w:r>
      <w:r>
        <w:t xml:space="preserve"> νοικοκυριών</w:t>
      </w:r>
      <w:r w:rsidR="006E04B1">
        <w:t>,</w:t>
      </w:r>
      <w:r>
        <w:t xml:space="preserve"> ώστε να αντιμετωπίσουν αποτελεσματικά το φαινόμενο της ενεργειακής ένδειας</w:t>
      </w:r>
      <w:r w:rsidR="006E04B1">
        <w:t>,</w:t>
      </w:r>
      <w:r>
        <w:t xml:space="preserve"> </w:t>
      </w:r>
      <w:r w:rsidR="006E04B1">
        <w:t>έναντι περίπου 690 χιλιάδων νοικοκυριών κατά το</w:t>
      </w:r>
      <w:r>
        <w:t xml:space="preserve"> έτος </w:t>
      </w:r>
      <w:r w:rsidR="006E04B1">
        <w:t xml:space="preserve">βάσης, </w:t>
      </w:r>
      <w:r>
        <w:t xml:space="preserve">2016 </w:t>
      </w:r>
      <w:r w:rsidR="006E04B1">
        <w:t xml:space="preserve">(το ποσοστό των ενεργειακά φτωχών νοικοκυριών το 2016 </w:t>
      </w:r>
      <w:r>
        <w:t xml:space="preserve">ανήλθε σε </w:t>
      </w:r>
      <w:r w:rsidR="00EC18E9">
        <w:t>15,9</w:t>
      </w:r>
      <w:r>
        <w:t xml:space="preserve">% </w:t>
      </w:r>
      <w:r w:rsidR="006E04B1">
        <w:t xml:space="preserve">επί του συνόλου </w:t>
      </w:r>
      <w:r>
        <w:t>των νοικοκυριών).</w:t>
      </w:r>
    </w:p>
    <w:p w14:paraId="31B608FF" w14:textId="478CCA28" w:rsidR="002C70FF" w:rsidRDefault="00A70225" w:rsidP="00EB2197">
      <w:pPr>
        <w:spacing w:before="120" w:after="120"/>
        <w:jc w:val="both"/>
      </w:pPr>
      <w:r>
        <w:t>Με βάση τη στοχοθεσία που έχει τεθεί στο πλαίσιο του ΕΣΕΚ</w:t>
      </w:r>
      <w:r w:rsidR="002C70FF">
        <w:t xml:space="preserve">, το ποσοστό των </w:t>
      </w:r>
      <w:r w:rsidR="006E04B1">
        <w:t xml:space="preserve">ενεργειακά φτωχών </w:t>
      </w:r>
      <w:r w:rsidR="002C70FF">
        <w:t xml:space="preserve">νοικοκυριών αναμένεται να μειωθεί σε </w:t>
      </w:r>
      <w:r w:rsidR="00D361E2">
        <w:t>8</w:t>
      </w:r>
      <w:r w:rsidR="002C70FF">
        <w:t xml:space="preserve">% το έτος 2025 (περίπου </w:t>
      </w:r>
      <w:r w:rsidR="00D361E2">
        <w:t>345</w:t>
      </w:r>
      <w:r w:rsidR="002C70FF">
        <w:t xml:space="preserve"> χιλιάδες νοικοκυριά) και σε </w:t>
      </w:r>
      <w:r w:rsidR="00D361E2">
        <w:t>4</w:t>
      </w:r>
      <w:r w:rsidR="002C70FF">
        <w:t>% το έτος 2030 (περίπου 1</w:t>
      </w:r>
      <w:r w:rsidR="00D361E2">
        <w:t>72</w:t>
      </w:r>
      <w:r w:rsidR="002C70FF">
        <w:t xml:space="preserve"> χιλιάδες νοικοκυριά).</w:t>
      </w:r>
    </w:p>
    <w:p w14:paraId="31B60900" w14:textId="1736697A" w:rsidR="002C70FF" w:rsidRPr="00E85C7A" w:rsidRDefault="002C70FF" w:rsidP="00EB2197">
      <w:pPr>
        <w:spacing w:before="120" w:after="120"/>
        <w:jc w:val="both"/>
      </w:pPr>
      <w:r>
        <w:t>Σε κάθε περίπτωση</w:t>
      </w:r>
      <w:r w:rsidR="006E04B1">
        <w:t>,</w:t>
      </w:r>
      <w:r>
        <w:t xml:space="preserve"> στο πλαίσιο του μηχανισμού παρακολούθησης και ελέγχου</w:t>
      </w:r>
      <w:r w:rsidR="004A5521">
        <w:t>,</w:t>
      </w:r>
      <w:r>
        <w:t xml:space="preserve"> θα αποτιμηθεί η επίδοση των δεικτών που έχουν επιλεγεί </w:t>
      </w:r>
      <w:r w:rsidR="00C967E1">
        <w:t>από το</w:t>
      </w:r>
      <w:r w:rsidR="00C967E1" w:rsidRPr="00E85C7A">
        <w:t xml:space="preserve"> Ευρωπαϊκ</w:t>
      </w:r>
      <w:r w:rsidR="00C967E1">
        <w:t>ό</w:t>
      </w:r>
      <w:r w:rsidR="00C967E1" w:rsidRPr="00E85C7A">
        <w:t xml:space="preserve"> Παρατηρητ</w:t>
      </w:r>
      <w:r w:rsidR="00C967E1">
        <w:t>ήριο</w:t>
      </w:r>
      <w:r w:rsidR="00C967E1" w:rsidRPr="00E85C7A">
        <w:t xml:space="preserve"> </w:t>
      </w:r>
      <w:r w:rsidRPr="00E85C7A">
        <w:t>για την Ενεργειακή Φτώχεια</w:t>
      </w:r>
      <w:r w:rsidR="006E04B1">
        <w:t>,</w:t>
      </w:r>
      <w:r>
        <w:t xml:space="preserve"> με σκοπό τη σύγκριση τους με τον </w:t>
      </w:r>
      <w:r w:rsidRPr="00E85C7A">
        <w:t xml:space="preserve">Δείκτη </w:t>
      </w:r>
      <w:r w:rsidRPr="00392AEC">
        <w:t>Ι</w:t>
      </w:r>
      <w:r w:rsidR="00D361E2">
        <w:t>-</w:t>
      </w:r>
      <w:r w:rsidRPr="00392AEC">
        <w:t>ΙΙ</w:t>
      </w:r>
      <w:r w:rsidR="00B87B34" w:rsidRPr="00A64EB1">
        <w:rPr>
          <w:vertAlign w:val="subscript"/>
        </w:rPr>
        <w:t>2025</w:t>
      </w:r>
      <w:r w:rsidR="00B87B34">
        <w:t xml:space="preserve"> </w:t>
      </w:r>
      <w:r w:rsidRPr="00392AEC">
        <w:t>και</w:t>
      </w:r>
      <w:r>
        <w:rPr>
          <w:b/>
          <w:bCs/>
        </w:rPr>
        <w:t xml:space="preserve"> </w:t>
      </w:r>
      <w:r w:rsidRPr="00392AEC">
        <w:t>τον εντοπισμ</w:t>
      </w:r>
      <w:r w:rsidRPr="00AA2F2D">
        <w:t xml:space="preserve">ό </w:t>
      </w:r>
      <w:r w:rsidRPr="00392AEC">
        <w:t xml:space="preserve">των </w:t>
      </w:r>
      <w:r w:rsidR="00A75C6D" w:rsidRPr="00392AEC">
        <w:t>συνθηκ</w:t>
      </w:r>
      <w:r w:rsidR="00A75C6D">
        <w:t>ών</w:t>
      </w:r>
      <w:r w:rsidRPr="00392AEC">
        <w:t xml:space="preserve"> που θα οδηγήσουν στη σύγκλισ</w:t>
      </w:r>
      <w:r w:rsidR="006E04B1">
        <w:t>ή</w:t>
      </w:r>
      <w:r w:rsidRPr="00392AEC">
        <w:t xml:space="preserve"> τους.</w:t>
      </w:r>
    </w:p>
    <w:p w14:paraId="66324787" w14:textId="40E2B309" w:rsidR="009B3073" w:rsidRDefault="009B3073" w:rsidP="009B3073">
      <w:pPr>
        <w:spacing w:before="120" w:after="120"/>
        <w:jc w:val="both"/>
      </w:pPr>
      <w:r>
        <w:t xml:space="preserve">Στον Πίνακα </w:t>
      </w:r>
      <w:r w:rsidR="00677626">
        <w:t>3</w:t>
      </w:r>
      <w:r>
        <w:t xml:space="preserve"> παρουσιάζεται η επίδοση των Δεικτών Ι</w:t>
      </w:r>
      <w:r w:rsidR="00D361E2">
        <w:t>-</w:t>
      </w:r>
      <w:r>
        <w:t>ΙΙ</w:t>
      </w:r>
      <w:r w:rsidR="00B87B34" w:rsidRPr="00A64EB1">
        <w:rPr>
          <w:vertAlign w:val="subscript"/>
        </w:rPr>
        <w:t>2025</w:t>
      </w:r>
      <w:r>
        <w:t xml:space="preserve"> σε κάθε περιφέρεια ξεχωριστά </w:t>
      </w:r>
      <w:r w:rsidR="00D326E4">
        <w:t>την περίοδο 2016-2023</w:t>
      </w:r>
      <w:r>
        <w:t>.</w:t>
      </w:r>
    </w:p>
    <w:p w14:paraId="2EDD2C30" w14:textId="760A85A5" w:rsidR="00EE7D6E" w:rsidRPr="00863598" w:rsidRDefault="00EE7D6E" w:rsidP="00EE7D6E">
      <w:pPr>
        <w:pStyle w:val="a7"/>
        <w:keepNext/>
        <w:jc w:val="center"/>
        <w:rPr>
          <w:sz w:val="22"/>
          <w:szCs w:val="22"/>
        </w:rPr>
      </w:pPr>
      <w:bookmarkStart w:id="10" w:name="_Hlk201744072"/>
      <w:r w:rsidRPr="00863598">
        <w:rPr>
          <w:color w:val="auto"/>
          <w:sz w:val="22"/>
          <w:szCs w:val="22"/>
        </w:rPr>
        <w:t xml:space="preserve">Πίνακας </w:t>
      </w:r>
      <w:r w:rsidR="00677626">
        <w:rPr>
          <w:color w:val="auto"/>
          <w:sz w:val="22"/>
          <w:szCs w:val="22"/>
        </w:rPr>
        <w:t>3</w:t>
      </w:r>
      <w:r w:rsidRPr="00863598">
        <w:rPr>
          <w:color w:val="auto"/>
          <w:sz w:val="22"/>
          <w:szCs w:val="22"/>
        </w:rPr>
        <w:t xml:space="preserve">: Επίδοση </w:t>
      </w:r>
      <w:r w:rsidRPr="00ED2686">
        <w:rPr>
          <w:color w:val="auto"/>
          <w:sz w:val="22"/>
          <w:szCs w:val="22"/>
        </w:rPr>
        <w:t>Δείκτη Ι</w:t>
      </w:r>
      <w:r>
        <w:rPr>
          <w:color w:val="auto"/>
          <w:sz w:val="22"/>
          <w:szCs w:val="22"/>
        </w:rPr>
        <w:t>-</w:t>
      </w:r>
      <w:r w:rsidRPr="00ED2686">
        <w:rPr>
          <w:color w:val="auto"/>
          <w:sz w:val="22"/>
          <w:szCs w:val="22"/>
        </w:rPr>
        <w:t>ΙΙ</w:t>
      </w:r>
      <w:r w:rsidRPr="0033466F">
        <w:rPr>
          <w:color w:val="auto"/>
          <w:sz w:val="22"/>
          <w:szCs w:val="22"/>
          <w:vertAlign w:val="subscript"/>
        </w:rPr>
        <w:t>2025</w:t>
      </w:r>
      <w:r w:rsidRPr="00ED2686">
        <w:rPr>
          <w:color w:val="auto"/>
          <w:sz w:val="22"/>
          <w:szCs w:val="22"/>
        </w:rPr>
        <w:t xml:space="preserve"> </w:t>
      </w:r>
      <w:r w:rsidRPr="00863598">
        <w:rPr>
          <w:color w:val="auto"/>
          <w:sz w:val="22"/>
          <w:szCs w:val="22"/>
        </w:rPr>
        <w:t>ανά περιφέρεια</w:t>
      </w:r>
      <w:r>
        <w:rPr>
          <w:color w:val="auto"/>
          <w:sz w:val="22"/>
          <w:szCs w:val="22"/>
        </w:rPr>
        <w:t xml:space="preserve"> την περίοδο 2016-2023</w:t>
      </w:r>
      <w:r w:rsidRPr="00863598">
        <w:rPr>
          <w:color w:val="auto"/>
          <w:sz w:val="22"/>
          <w:szCs w:val="22"/>
        </w:rPr>
        <w:t>.</w:t>
      </w:r>
    </w:p>
    <w:tbl>
      <w:tblPr>
        <w:tblW w:w="8745" w:type="dxa"/>
        <w:jc w:val="center"/>
        <w:tblLayout w:type="fixed"/>
        <w:tblLook w:val="00A0" w:firstRow="1" w:lastRow="0" w:firstColumn="1" w:lastColumn="0" w:noHBand="0" w:noVBand="0"/>
      </w:tblPr>
      <w:tblGrid>
        <w:gridCol w:w="2164"/>
        <w:gridCol w:w="822"/>
        <w:gridCol w:w="823"/>
        <w:gridCol w:w="822"/>
        <w:gridCol w:w="823"/>
        <w:gridCol w:w="823"/>
        <w:gridCol w:w="822"/>
        <w:gridCol w:w="823"/>
        <w:gridCol w:w="823"/>
      </w:tblGrid>
      <w:tr w:rsidR="00117A03" w:rsidRPr="008F20D9" w14:paraId="3BB6BCE5" w14:textId="6F168485" w:rsidTr="001E718D">
        <w:trPr>
          <w:trHeight w:val="55"/>
          <w:tblHeader/>
          <w:jc w:val="center"/>
        </w:trPr>
        <w:tc>
          <w:tcPr>
            <w:tcW w:w="2164" w:type="dxa"/>
            <w:tcBorders>
              <w:top w:val="single" w:sz="4" w:space="0" w:color="000000"/>
              <w:left w:val="single" w:sz="4" w:space="0" w:color="000000"/>
              <w:right w:val="nil"/>
            </w:tcBorders>
            <w:shd w:val="clear" w:color="auto" w:fill="DBE5F1" w:themeFill="accent1" w:themeFillTint="33"/>
            <w:noWrap/>
            <w:vAlign w:val="center"/>
          </w:tcPr>
          <w:bookmarkEnd w:id="10"/>
          <w:p w14:paraId="3950F640" w14:textId="77777777" w:rsidR="00117A03" w:rsidRPr="00123DD9" w:rsidRDefault="00117A03" w:rsidP="00694A55">
            <w:pPr>
              <w:spacing w:after="0" w:line="240" w:lineRule="auto"/>
              <w:jc w:val="center"/>
              <w:rPr>
                <w:b/>
                <w:bCs/>
                <w:color w:val="000000"/>
                <w:lang w:eastAsia="el-GR"/>
              </w:rPr>
            </w:pPr>
            <w:r w:rsidRPr="00123DD9">
              <w:rPr>
                <w:b/>
                <w:bCs/>
                <w:color w:val="000000"/>
                <w:lang w:eastAsia="el-GR"/>
              </w:rPr>
              <w:t>Περιφέρεια</w:t>
            </w:r>
          </w:p>
        </w:tc>
        <w:tc>
          <w:tcPr>
            <w:tcW w:w="822" w:type="dxa"/>
            <w:tcBorders>
              <w:top w:val="single" w:sz="4" w:space="0" w:color="auto"/>
              <w:left w:val="single" w:sz="4" w:space="0" w:color="auto"/>
              <w:right w:val="single" w:sz="4" w:space="0" w:color="auto"/>
            </w:tcBorders>
            <w:shd w:val="clear" w:color="auto" w:fill="DBE5F1" w:themeFill="accent1" w:themeFillTint="33"/>
          </w:tcPr>
          <w:p w14:paraId="01B973C6" w14:textId="57A73BF5" w:rsidR="00117A03" w:rsidRPr="00123DD9" w:rsidRDefault="00117A03" w:rsidP="00694A55">
            <w:pPr>
              <w:spacing w:after="0" w:line="240" w:lineRule="auto"/>
              <w:jc w:val="center"/>
              <w:rPr>
                <w:b/>
                <w:bCs/>
                <w:color w:val="000000"/>
                <w:lang w:eastAsia="el-GR"/>
              </w:rPr>
            </w:pPr>
            <w:r w:rsidRPr="00123DD9">
              <w:rPr>
                <w:b/>
                <w:bCs/>
                <w:color w:val="000000"/>
                <w:lang w:eastAsia="el-GR"/>
              </w:rPr>
              <w:t>2016</w:t>
            </w:r>
          </w:p>
        </w:tc>
        <w:tc>
          <w:tcPr>
            <w:tcW w:w="823" w:type="dxa"/>
            <w:tcBorders>
              <w:top w:val="single" w:sz="4" w:space="0" w:color="auto"/>
              <w:left w:val="single" w:sz="4" w:space="0" w:color="auto"/>
              <w:right w:val="single" w:sz="4" w:space="0" w:color="auto"/>
            </w:tcBorders>
            <w:shd w:val="clear" w:color="auto" w:fill="DBE5F1" w:themeFill="accent1" w:themeFillTint="33"/>
          </w:tcPr>
          <w:p w14:paraId="73607F42" w14:textId="7D01A774" w:rsidR="00117A03" w:rsidRPr="00123DD9" w:rsidRDefault="00117A03" w:rsidP="00694A55">
            <w:pPr>
              <w:spacing w:after="0" w:line="240" w:lineRule="auto"/>
              <w:jc w:val="center"/>
              <w:rPr>
                <w:b/>
                <w:bCs/>
                <w:color w:val="000000"/>
                <w:lang w:eastAsia="el-GR"/>
              </w:rPr>
            </w:pPr>
            <w:r w:rsidRPr="00123DD9">
              <w:rPr>
                <w:b/>
                <w:bCs/>
                <w:color w:val="000000"/>
                <w:lang w:eastAsia="el-GR"/>
              </w:rPr>
              <w:t>2017</w:t>
            </w:r>
          </w:p>
        </w:tc>
        <w:tc>
          <w:tcPr>
            <w:tcW w:w="822" w:type="dxa"/>
            <w:tcBorders>
              <w:top w:val="single" w:sz="4" w:space="0" w:color="auto"/>
              <w:left w:val="single" w:sz="4" w:space="0" w:color="auto"/>
              <w:right w:val="single" w:sz="4" w:space="0" w:color="auto"/>
            </w:tcBorders>
            <w:shd w:val="clear" w:color="auto" w:fill="DBE5F1" w:themeFill="accent1" w:themeFillTint="33"/>
          </w:tcPr>
          <w:p w14:paraId="245C469A" w14:textId="2B3636E3" w:rsidR="00117A03" w:rsidRPr="00123DD9" w:rsidRDefault="00117A03" w:rsidP="00694A55">
            <w:pPr>
              <w:spacing w:after="0" w:line="240" w:lineRule="auto"/>
              <w:jc w:val="center"/>
              <w:rPr>
                <w:b/>
                <w:bCs/>
                <w:color w:val="000000"/>
                <w:lang w:eastAsia="el-GR"/>
              </w:rPr>
            </w:pPr>
            <w:r w:rsidRPr="00123DD9">
              <w:rPr>
                <w:b/>
                <w:bCs/>
                <w:color w:val="000000"/>
                <w:lang w:eastAsia="el-GR"/>
              </w:rPr>
              <w:t>2018</w:t>
            </w:r>
          </w:p>
        </w:tc>
        <w:tc>
          <w:tcPr>
            <w:tcW w:w="823" w:type="dxa"/>
            <w:tcBorders>
              <w:top w:val="single" w:sz="4" w:space="0" w:color="auto"/>
              <w:left w:val="single" w:sz="4" w:space="0" w:color="auto"/>
              <w:right w:val="single" w:sz="4" w:space="0" w:color="auto"/>
            </w:tcBorders>
            <w:shd w:val="clear" w:color="auto" w:fill="DBE5F1" w:themeFill="accent1" w:themeFillTint="33"/>
          </w:tcPr>
          <w:p w14:paraId="3C298B69" w14:textId="4A6B5B7B" w:rsidR="00117A03" w:rsidRPr="00123DD9" w:rsidRDefault="00117A03" w:rsidP="00694A55">
            <w:pPr>
              <w:spacing w:after="0" w:line="240" w:lineRule="auto"/>
              <w:jc w:val="center"/>
              <w:rPr>
                <w:b/>
                <w:bCs/>
                <w:color w:val="000000"/>
                <w:lang w:eastAsia="el-GR"/>
              </w:rPr>
            </w:pPr>
            <w:r w:rsidRPr="00123DD9">
              <w:rPr>
                <w:b/>
                <w:bCs/>
                <w:color w:val="000000"/>
                <w:lang w:eastAsia="el-GR"/>
              </w:rPr>
              <w:t>2019</w:t>
            </w:r>
          </w:p>
        </w:tc>
        <w:tc>
          <w:tcPr>
            <w:tcW w:w="823" w:type="dxa"/>
            <w:tcBorders>
              <w:top w:val="single" w:sz="4" w:space="0" w:color="auto"/>
              <w:left w:val="single" w:sz="4" w:space="0" w:color="auto"/>
              <w:right w:val="single" w:sz="4" w:space="0" w:color="auto"/>
            </w:tcBorders>
            <w:shd w:val="clear" w:color="auto" w:fill="DBE5F1" w:themeFill="accent1" w:themeFillTint="33"/>
          </w:tcPr>
          <w:p w14:paraId="59B4E04F" w14:textId="0F203F0E" w:rsidR="00117A03" w:rsidRPr="00123DD9" w:rsidRDefault="00117A03" w:rsidP="00694A55">
            <w:pPr>
              <w:spacing w:after="0" w:line="240" w:lineRule="auto"/>
              <w:jc w:val="center"/>
              <w:rPr>
                <w:b/>
                <w:bCs/>
                <w:color w:val="000000"/>
                <w:lang w:eastAsia="el-GR"/>
              </w:rPr>
            </w:pPr>
            <w:r w:rsidRPr="00123DD9">
              <w:rPr>
                <w:b/>
                <w:bCs/>
                <w:color w:val="000000"/>
                <w:lang w:eastAsia="el-GR"/>
              </w:rPr>
              <w:t>2020</w:t>
            </w:r>
          </w:p>
        </w:tc>
        <w:tc>
          <w:tcPr>
            <w:tcW w:w="822" w:type="dxa"/>
            <w:tcBorders>
              <w:top w:val="single" w:sz="4" w:space="0" w:color="auto"/>
              <w:left w:val="single" w:sz="4" w:space="0" w:color="auto"/>
              <w:right w:val="single" w:sz="4" w:space="0" w:color="auto"/>
            </w:tcBorders>
            <w:shd w:val="clear" w:color="auto" w:fill="DBE5F1" w:themeFill="accent1" w:themeFillTint="33"/>
          </w:tcPr>
          <w:p w14:paraId="44A066EE" w14:textId="3676CC4F" w:rsidR="00117A03" w:rsidRPr="00123DD9" w:rsidRDefault="00117A03" w:rsidP="00694A55">
            <w:pPr>
              <w:spacing w:after="0" w:line="240" w:lineRule="auto"/>
              <w:jc w:val="center"/>
              <w:rPr>
                <w:b/>
                <w:bCs/>
                <w:color w:val="000000"/>
                <w:lang w:eastAsia="el-GR"/>
              </w:rPr>
            </w:pPr>
            <w:r w:rsidRPr="00123DD9">
              <w:rPr>
                <w:b/>
                <w:bCs/>
                <w:color w:val="000000"/>
                <w:lang w:eastAsia="el-GR"/>
              </w:rPr>
              <w:t>2021</w:t>
            </w:r>
          </w:p>
        </w:tc>
        <w:tc>
          <w:tcPr>
            <w:tcW w:w="823" w:type="dxa"/>
            <w:tcBorders>
              <w:top w:val="single" w:sz="4" w:space="0" w:color="auto"/>
              <w:left w:val="single" w:sz="4" w:space="0" w:color="auto"/>
              <w:right w:val="single" w:sz="4" w:space="0" w:color="auto"/>
            </w:tcBorders>
            <w:shd w:val="clear" w:color="auto" w:fill="DBE5F1" w:themeFill="accent1" w:themeFillTint="33"/>
            <w:noWrap/>
            <w:vAlign w:val="bottom"/>
          </w:tcPr>
          <w:p w14:paraId="363AAA86" w14:textId="3238B5BA" w:rsidR="00117A03" w:rsidRPr="00123DD9" w:rsidRDefault="00117A03" w:rsidP="00694A55">
            <w:pPr>
              <w:spacing w:after="0" w:line="240" w:lineRule="auto"/>
              <w:jc w:val="center"/>
              <w:rPr>
                <w:b/>
                <w:bCs/>
                <w:color w:val="000000"/>
                <w:lang w:eastAsia="el-GR"/>
              </w:rPr>
            </w:pPr>
            <w:r w:rsidRPr="00123DD9">
              <w:rPr>
                <w:b/>
                <w:bCs/>
                <w:color w:val="000000"/>
                <w:lang w:eastAsia="el-GR"/>
              </w:rPr>
              <w:t>2022</w:t>
            </w:r>
          </w:p>
        </w:tc>
        <w:tc>
          <w:tcPr>
            <w:tcW w:w="823" w:type="dxa"/>
            <w:tcBorders>
              <w:top w:val="single" w:sz="4" w:space="0" w:color="auto"/>
              <w:left w:val="single" w:sz="4" w:space="0" w:color="auto"/>
              <w:right w:val="single" w:sz="4" w:space="0" w:color="auto"/>
            </w:tcBorders>
            <w:shd w:val="clear" w:color="auto" w:fill="DBE5F1" w:themeFill="accent1" w:themeFillTint="33"/>
          </w:tcPr>
          <w:p w14:paraId="4DE6DB7A" w14:textId="3F3DEFAF" w:rsidR="00117A03" w:rsidRPr="00123DD9" w:rsidRDefault="00117A03" w:rsidP="00694A55">
            <w:pPr>
              <w:spacing w:after="0" w:line="240" w:lineRule="auto"/>
              <w:jc w:val="center"/>
              <w:rPr>
                <w:b/>
                <w:bCs/>
                <w:color w:val="000000"/>
                <w:lang w:eastAsia="el-GR"/>
              </w:rPr>
            </w:pPr>
            <w:r w:rsidRPr="00123DD9">
              <w:rPr>
                <w:b/>
                <w:bCs/>
                <w:color w:val="000000"/>
                <w:lang w:eastAsia="el-GR"/>
              </w:rPr>
              <w:t>2023</w:t>
            </w:r>
          </w:p>
        </w:tc>
      </w:tr>
      <w:tr w:rsidR="00117A03" w:rsidRPr="008F20D9" w14:paraId="1D27D316" w14:textId="2C7EA639" w:rsidTr="00A64EB1">
        <w:trPr>
          <w:trHeight w:val="273"/>
          <w:jc w:val="center"/>
        </w:trPr>
        <w:tc>
          <w:tcPr>
            <w:tcW w:w="2164" w:type="dxa"/>
            <w:tcBorders>
              <w:top w:val="single" w:sz="4" w:space="0" w:color="000000"/>
              <w:left w:val="single" w:sz="4" w:space="0" w:color="000000"/>
              <w:bottom w:val="single" w:sz="4" w:space="0" w:color="000000"/>
              <w:right w:val="nil"/>
            </w:tcBorders>
            <w:shd w:val="clear" w:color="auto" w:fill="FFFFFF"/>
            <w:noWrap/>
            <w:vAlign w:val="bottom"/>
          </w:tcPr>
          <w:p w14:paraId="067354DF"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Αττική</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21C9051" w14:textId="71A841DE" w:rsidR="00117A03" w:rsidRPr="00F56D03" w:rsidRDefault="00117A03" w:rsidP="00117A03">
            <w:pPr>
              <w:spacing w:after="0" w:line="240" w:lineRule="auto"/>
              <w:jc w:val="center"/>
              <w:rPr>
                <w:color w:val="000000"/>
                <w:lang w:val="en-US"/>
              </w:rPr>
            </w:pPr>
            <w:r>
              <w:rPr>
                <w:color w:val="000000"/>
                <w:lang w:val="en-US"/>
              </w:rPr>
              <w:t>13,9</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EBD5647" w14:textId="1DB13577" w:rsidR="00117A03" w:rsidRPr="003F221C" w:rsidRDefault="00117A03" w:rsidP="00117A03">
            <w:pPr>
              <w:spacing w:after="0" w:line="240" w:lineRule="auto"/>
              <w:jc w:val="center"/>
              <w:rPr>
                <w:color w:val="000000"/>
                <w:lang w:val="en-US"/>
              </w:rPr>
            </w:pPr>
            <w:r w:rsidRPr="00117A03">
              <w:rPr>
                <w:color w:val="000000"/>
                <w:lang w:val="en-US"/>
              </w:rPr>
              <w:t>13,7%</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B3AA3D5" w14:textId="30AC88A5" w:rsidR="00117A03" w:rsidRPr="003F221C" w:rsidRDefault="00117A03" w:rsidP="00117A03">
            <w:pPr>
              <w:spacing w:after="0" w:line="240" w:lineRule="auto"/>
              <w:jc w:val="center"/>
              <w:rPr>
                <w:color w:val="000000"/>
                <w:lang w:val="en-US"/>
              </w:rPr>
            </w:pPr>
            <w:r w:rsidRPr="00117A03">
              <w:rPr>
                <w:color w:val="000000"/>
                <w:lang w:val="en-US"/>
              </w:rPr>
              <w:t>11,2%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55A913F3" w14:textId="1B487BEB" w:rsidR="00117A03" w:rsidRPr="003F221C" w:rsidRDefault="00117A03" w:rsidP="00117A03">
            <w:pPr>
              <w:spacing w:after="0" w:line="240" w:lineRule="auto"/>
              <w:jc w:val="center"/>
              <w:rPr>
                <w:color w:val="000000"/>
                <w:lang w:val="en-US"/>
              </w:rPr>
            </w:pPr>
            <w:r w:rsidRPr="00117A03">
              <w:rPr>
                <w:color w:val="000000"/>
                <w:lang w:val="en-US"/>
              </w:rPr>
              <w:t>11,0%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6D6A1B6" w14:textId="4CD22273" w:rsidR="00117A03" w:rsidRPr="003F221C" w:rsidRDefault="00117A03" w:rsidP="00117A03">
            <w:pPr>
              <w:spacing w:after="0" w:line="240" w:lineRule="auto"/>
              <w:jc w:val="center"/>
              <w:rPr>
                <w:color w:val="000000"/>
                <w:lang w:val="en-US"/>
              </w:rPr>
            </w:pPr>
            <w:r w:rsidRPr="00117A03">
              <w:rPr>
                <w:color w:val="000000"/>
                <w:lang w:val="en-US"/>
              </w:rPr>
              <w:t>6,7%</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407A2BF" w14:textId="40F8B308" w:rsidR="00117A03" w:rsidRPr="003F221C" w:rsidRDefault="00117A03" w:rsidP="00117A03">
            <w:pPr>
              <w:spacing w:after="0" w:line="240" w:lineRule="auto"/>
              <w:jc w:val="center"/>
              <w:rPr>
                <w:color w:val="000000"/>
                <w:lang w:val="en-US"/>
              </w:rPr>
            </w:pPr>
            <w:r w:rsidRPr="00117A03">
              <w:rPr>
                <w:color w:val="000000"/>
                <w:lang w:val="en-US"/>
              </w:rPr>
              <w:t>7,1%</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D9E697" w14:textId="32A80A5A" w:rsidR="00117A03" w:rsidRPr="003F221C" w:rsidRDefault="00117A03" w:rsidP="00117A03">
            <w:pPr>
              <w:spacing w:after="0" w:line="240" w:lineRule="auto"/>
              <w:jc w:val="center"/>
              <w:rPr>
                <w:color w:val="000000"/>
                <w:lang w:val="en-US"/>
              </w:rPr>
            </w:pPr>
            <w:r w:rsidRPr="00117A03">
              <w:rPr>
                <w:color w:val="000000"/>
                <w:lang w:val="en-US"/>
              </w:rPr>
              <w:t>6,0%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1BB9673" w14:textId="545BCF94" w:rsidR="00117A03" w:rsidRPr="00F56D03" w:rsidRDefault="00117A03" w:rsidP="00117A03">
            <w:pPr>
              <w:spacing w:after="0" w:line="240" w:lineRule="auto"/>
              <w:jc w:val="center"/>
              <w:rPr>
                <w:color w:val="000000"/>
                <w:lang w:val="en-US"/>
              </w:rPr>
            </w:pPr>
            <w:r>
              <w:rPr>
                <w:color w:val="000000"/>
                <w:lang w:val="en-US"/>
              </w:rPr>
              <w:t>6,7%</w:t>
            </w:r>
          </w:p>
        </w:tc>
      </w:tr>
      <w:tr w:rsidR="00117A03" w:rsidRPr="008F20D9" w14:paraId="39A01A9D" w14:textId="64878707"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1BD9AC77"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Βόρειο Αιγαίο</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653A871" w14:textId="15CC1D0E" w:rsidR="00117A03" w:rsidRPr="00123DD9" w:rsidRDefault="00117A03" w:rsidP="00117A03">
            <w:pPr>
              <w:spacing w:after="0" w:line="240" w:lineRule="auto"/>
              <w:jc w:val="center"/>
              <w:rPr>
                <w:color w:val="000000"/>
              </w:rPr>
            </w:pPr>
            <w:r>
              <w:rPr>
                <w:color w:val="000000"/>
                <w:lang w:val="en-US"/>
              </w:rPr>
              <w:t>14,7</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5A2A6512" w14:textId="4362F69E" w:rsidR="00117A03" w:rsidRPr="003F221C" w:rsidRDefault="00117A03" w:rsidP="00117A03">
            <w:pPr>
              <w:spacing w:after="0" w:line="240" w:lineRule="auto"/>
              <w:jc w:val="center"/>
              <w:rPr>
                <w:color w:val="000000"/>
                <w:lang w:val="en-US"/>
              </w:rPr>
            </w:pPr>
            <w:r w:rsidRPr="00117A03">
              <w:rPr>
                <w:color w:val="000000"/>
                <w:lang w:val="en-US"/>
              </w:rPr>
              <w:t>18,8%</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8C6B8B5" w14:textId="678D919F" w:rsidR="00117A03" w:rsidRPr="003F221C" w:rsidRDefault="00117A03" w:rsidP="00117A03">
            <w:pPr>
              <w:spacing w:after="0" w:line="240" w:lineRule="auto"/>
              <w:jc w:val="center"/>
              <w:rPr>
                <w:color w:val="000000"/>
                <w:lang w:val="en-US"/>
              </w:rPr>
            </w:pPr>
            <w:r w:rsidRPr="00117A03">
              <w:rPr>
                <w:color w:val="000000"/>
                <w:lang w:val="en-US"/>
              </w:rPr>
              <w:t>19,2%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028F4CE" w14:textId="6C7ABF0B" w:rsidR="00117A03" w:rsidRPr="003F221C" w:rsidRDefault="00117A03" w:rsidP="00117A03">
            <w:pPr>
              <w:spacing w:after="0" w:line="240" w:lineRule="auto"/>
              <w:jc w:val="center"/>
              <w:rPr>
                <w:color w:val="000000"/>
                <w:lang w:val="en-US"/>
              </w:rPr>
            </w:pPr>
            <w:r w:rsidRPr="00117A03">
              <w:rPr>
                <w:color w:val="000000"/>
                <w:lang w:val="en-US"/>
              </w:rPr>
              <w:t>18,5%</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B9B8467" w14:textId="6600D735" w:rsidR="00117A03" w:rsidRPr="003F221C" w:rsidRDefault="00117A03" w:rsidP="00117A03">
            <w:pPr>
              <w:spacing w:after="0" w:line="240" w:lineRule="auto"/>
              <w:jc w:val="center"/>
              <w:rPr>
                <w:color w:val="000000"/>
                <w:lang w:val="en-US"/>
              </w:rPr>
            </w:pPr>
            <w:r w:rsidRPr="00117A03">
              <w:rPr>
                <w:color w:val="000000"/>
                <w:lang w:val="en-US"/>
              </w:rPr>
              <w:t>15,7%</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6DDC17B" w14:textId="2848FFB1" w:rsidR="00117A03" w:rsidRPr="003F221C" w:rsidRDefault="00117A03" w:rsidP="00117A03">
            <w:pPr>
              <w:spacing w:after="0" w:line="240" w:lineRule="auto"/>
              <w:jc w:val="center"/>
              <w:rPr>
                <w:color w:val="000000"/>
                <w:lang w:val="en-US"/>
              </w:rPr>
            </w:pPr>
            <w:r w:rsidRPr="00117A03">
              <w:rPr>
                <w:color w:val="000000"/>
                <w:lang w:val="en-US"/>
              </w:rPr>
              <w:t>17,6%</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3C4C2A" w14:textId="142850CD" w:rsidR="00117A03" w:rsidRPr="003F221C" w:rsidRDefault="00117A03" w:rsidP="00117A03">
            <w:pPr>
              <w:spacing w:after="0" w:line="240" w:lineRule="auto"/>
              <w:jc w:val="center"/>
              <w:rPr>
                <w:color w:val="000000"/>
                <w:lang w:val="en-US"/>
              </w:rPr>
            </w:pPr>
            <w:r w:rsidRPr="00117A03">
              <w:rPr>
                <w:color w:val="000000"/>
                <w:lang w:val="en-US"/>
              </w:rPr>
              <w:t>19,3%</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E53FBCC" w14:textId="74A9C0A7" w:rsidR="00117A03" w:rsidRPr="00123DD9" w:rsidRDefault="00117A03" w:rsidP="00117A03">
            <w:pPr>
              <w:spacing w:after="0" w:line="240" w:lineRule="auto"/>
              <w:jc w:val="center"/>
              <w:rPr>
                <w:color w:val="000000"/>
              </w:rPr>
            </w:pPr>
            <w:r>
              <w:rPr>
                <w:color w:val="000000"/>
                <w:lang w:val="en-US"/>
              </w:rPr>
              <w:t>15,7</w:t>
            </w:r>
            <w:r w:rsidRPr="008232AA">
              <w:rPr>
                <w:color w:val="000000"/>
                <w:lang w:val="en-US"/>
              </w:rPr>
              <w:t>%</w:t>
            </w:r>
          </w:p>
        </w:tc>
      </w:tr>
      <w:tr w:rsidR="00117A03" w:rsidRPr="008F20D9" w14:paraId="2790B427" w14:textId="36EF9C4C"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4E29D652"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lastRenderedPageBreak/>
              <w:t>Νότιο Αιγαίο</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CB93972" w14:textId="30E7ECF0" w:rsidR="00117A03" w:rsidRPr="00123DD9" w:rsidRDefault="00117A03" w:rsidP="00117A03">
            <w:pPr>
              <w:spacing w:after="0" w:line="240" w:lineRule="auto"/>
              <w:jc w:val="center"/>
              <w:rPr>
                <w:color w:val="000000"/>
              </w:rPr>
            </w:pPr>
            <w:r>
              <w:rPr>
                <w:color w:val="000000"/>
                <w:lang w:val="en-US"/>
              </w:rPr>
              <w:t>10,2</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19181D8" w14:textId="2E4EC1FA" w:rsidR="00117A03" w:rsidRPr="003F221C" w:rsidRDefault="00117A03" w:rsidP="00117A03">
            <w:pPr>
              <w:spacing w:after="0" w:line="240" w:lineRule="auto"/>
              <w:jc w:val="center"/>
              <w:rPr>
                <w:color w:val="000000"/>
                <w:lang w:val="en-US"/>
              </w:rPr>
            </w:pPr>
            <w:r w:rsidRPr="00117A03">
              <w:rPr>
                <w:color w:val="000000"/>
                <w:lang w:val="en-US"/>
              </w:rPr>
              <w:t>11,7%</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533774B" w14:textId="1E746B7D" w:rsidR="00117A03" w:rsidRPr="003F221C" w:rsidRDefault="00117A03" w:rsidP="00117A03">
            <w:pPr>
              <w:spacing w:after="0" w:line="240" w:lineRule="auto"/>
              <w:jc w:val="center"/>
              <w:rPr>
                <w:color w:val="000000"/>
                <w:lang w:val="en-US"/>
              </w:rPr>
            </w:pPr>
            <w:r w:rsidRPr="00117A03">
              <w:rPr>
                <w:color w:val="000000"/>
                <w:lang w:val="en-US"/>
              </w:rPr>
              <w:t>10,6%</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8775D28" w14:textId="734C61D0" w:rsidR="00117A03" w:rsidRPr="003F221C" w:rsidRDefault="00117A03" w:rsidP="00117A03">
            <w:pPr>
              <w:spacing w:after="0" w:line="240" w:lineRule="auto"/>
              <w:jc w:val="center"/>
              <w:rPr>
                <w:color w:val="000000"/>
                <w:lang w:val="en-US"/>
              </w:rPr>
            </w:pPr>
            <w:r w:rsidRPr="00117A03">
              <w:rPr>
                <w:color w:val="000000"/>
                <w:lang w:val="en-US"/>
              </w:rPr>
              <w:t>9,7%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8DD1991" w14:textId="54516CBC" w:rsidR="00117A03" w:rsidRPr="003F221C" w:rsidRDefault="00117A03" w:rsidP="00117A03">
            <w:pPr>
              <w:spacing w:after="0" w:line="240" w:lineRule="auto"/>
              <w:jc w:val="center"/>
              <w:rPr>
                <w:color w:val="000000"/>
                <w:lang w:val="en-US"/>
              </w:rPr>
            </w:pPr>
            <w:r w:rsidRPr="00117A03">
              <w:rPr>
                <w:color w:val="000000"/>
                <w:lang w:val="en-US"/>
              </w:rPr>
              <w:t>9,0%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66E2458" w14:textId="52C55205" w:rsidR="00117A03" w:rsidRPr="003F221C" w:rsidRDefault="00117A03" w:rsidP="00117A03">
            <w:pPr>
              <w:spacing w:after="0" w:line="240" w:lineRule="auto"/>
              <w:jc w:val="center"/>
              <w:rPr>
                <w:color w:val="000000"/>
                <w:lang w:val="en-US"/>
              </w:rPr>
            </w:pPr>
            <w:r w:rsidRPr="00117A03">
              <w:rPr>
                <w:color w:val="000000"/>
                <w:lang w:val="en-US"/>
              </w:rPr>
              <w:t>11,1%</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13C34D" w14:textId="76E86EF7" w:rsidR="00117A03" w:rsidRPr="003F221C" w:rsidRDefault="00117A03" w:rsidP="00117A03">
            <w:pPr>
              <w:spacing w:after="0" w:line="240" w:lineRule="auto"/>
              <w:jc w:val="center"/>
              <w:rPr>
                <w:color w:val="000000"/>
                <w:lang w:val="en-US"/>
              </w:rPr>
            </w:pPr>
            <w:r w:rsidRPr="00117A03">
              <w:rPr>
                <w:color w:val="000000"/>
                <w:lang w:val="en-US"/>
              </w:rPr>
              <w:t>10,2%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14BEBA0" w14:textId="69C2C751" w:rsidR="00117A03" w:rsidRPr="00123DD9" w:rsidRDefault="00117A03" w:rsidP="00117A03">
            <w:pPr>
              <w:spacing w:after="0" w:line="240" w:lineRule="auto"/>
              <w:jc w:val="center"/>
              <w:rPr>
                <w:color w:val="000000"/>
              </w:rPr>
            </w:pPr>
            <w:r>
              <w:rPr>
                <w:color w:val="000000"/>
                <w:lang w:val="en-US"/>
              </w:rPr>
              <w:t>9,0</w:t>
            </w:r>
            <w:r w:rsidRPr="008232AA">
              <w:rPr>
                <w:color w:val="000000"/>
                <w:lang w:val="en-US"/>
              </w:rPr>
              <w:t>%</w:t>
            </w:r>
          </w:p>
        </w:tc>
      </w:tr>
      <w:tr w:rsidR="00126D23" w:rsidRPr="008F20D9" w14:paraId="56F01AAD" w14:textId="789B0EB2"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755C0718" w14:textId="77777777" w:rsidR="00126D23" w:rsidRPr="00123DD9" w:rsidRDefault="00126D23" w:rsidP="00126D23">
            <w:pPr>
              <w:spacing w:after="0" w:line="240" w:lineRule="auto"/>
              <w:jc w:val="both"/>
              <w:rPr>
                <w:b/>
                <w:bCs/>
                <w:color w:val="000000"/>
                <w:lang w:eastAsia="el-GR"/>
              </w:rPr>
            </w:pPr>
            <w:r w:rsidRPr="00123DD9">
              <w:rPr>
                <w:b/>
                <w:bCs/>
                <w:color w:val="000000"/>
                <w:lang w:eastAsia="el-GR"/>
              </w:rPr>
              <w:t>Κρήτη</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F26078F" w14:textId="1D4CD8CE" w:rsidR="00126D23" w:rsidRPr="00123DD9" w:rsidRDefault="00126D23" w:rsidP="00126D23">
            <w:pPr>
              <w:spacing w:after="0" w:line="240" w:lineRule="auto"/>
              <w:jc w:val="center"/>
              <w:rPr>
                <w:color w:val="000000"/>
              </w:rPr>
            </w:pPr>
            <w:r>
              <w:rPr>
                <w:color w:val="000000"/>
                <w:lang w:val="en-US"/>
              </w:rPr>
              <w:t>9,3</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31E39BD" w14:textId="77617BE1" w:rsidR="00126D23" w:rsidRPr="003F221C" w:rsidRDefault="00126D23" w:rsidP="00126D23">
            <w:pPr>
              <w:spacing w:after="0" w:line="240" w:lineRule="auto"/>
              <w:jc w:val="center"/>
              <w:rPr>
                <w:color w:val="000000"/>
                <w:lang w:val="en-US"/>
              </w:rPr>
            </w:pPr>
            <w:r w:rsidRPr="00126D23">
              <w:rPr>
                <w:color w:val="000000"/>
                <w:lang w:val="en-US"/>
              </w:rPr>
              <w:t>5,9%</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3A0661D" w14:textId="71DA5601" w:rsidR="00126D23" w:rsidRPr="003F221C" w:rsidRDefault="00126D23" w:rsidP="00126D23">
            <w:pPr>
              <w:spacing w:after="0" w:line="240" w:lineRule="auto"/>
              <w:jc w:val="center"/>
              <w:rPr>
                <w:color w:val="000000"/>
                <w:lang w:val="en-US"/>
              </w:rPr>
            </w:pPr>
            <w:r w:rsidRPr="00126D23">
              <w:rPr>
                <w:color w:val="000000"/>
                <w:lang w:val="en-US"/>
              </w:rPr>
              <w:t>7,5%</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9050169" w14:textId="60225A86" w:rsidR="00126D23" w:rsidRPr="003F221C" w:rsidRDefault="00126D23" w:rsidP="00126D23">
            <w:pPr>
              <w:spacing w:after="0" w:line="240" w:lineRule="auto"/>
              <w:jc w:val="center"/>
              <w:rPr>
                <w:color w:val="000000"/>
                <w:lang w:val="en-US"/>
              </w:rPr>
            </w:pPr>
            <w:r w:rsidRPr="00126D23">
              <w:rPr>
                <w:color w:val="000000"/>
                <w:lang w:val="en-US"/>
              </w:rPr>
              <w:t>7,2%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DDEBF58" w14:textId="20F7B1C1" w:rsidR="00126D23" w:rsidRPr="003F221C" w:rsidRDefault="00126D23" w:rsidP="00126D23">
            <w:pPr>
              <w:spacing w:after="0" w:line="240" w:lineRule="auto"/>
              <w:jc w:val="center"/>
              <w:rPr>
                <w:color w:val="000000"/>
                <w:lang w:val="en-US"/>
              </w:rPr>
            </w:pPr>
            <w:r w:rsidRPr="00126D23">
              <w:rPr>
                <w:color w:val="000000"/>
                <w:lang w:val="en-US"/>
              </w:rPr>
              <w:t>10,4%</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567F507" w14:textId="596B023E" w:rsidR="00126D23" w:rsidRPr="003F221C" w:rsidRDefault="00126D23" w:rsidP="00126D23">
            <w:pPr>
              <w:spacing w:after="0" w:line="240" w:lineRule="auto"/>
              <w:jc w:val="center"/>
              <w:rPr>
                <w:color w:val="000000"/>
                <w:lang w:val="en-US"/>
              </w:rPr>
            </w:pPr>
            <w:r w:rsidRPr="00126D23">
              <w:rPr>
                <w:color w:val="000000"/>
                <w:lang w:val="en-US"/>
              </w:rPr>
              <w:t>6,8%</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81C129" w14:textId="7941E926" w:rsidR="00126D23" w:rsidRPr="003F221C" w:rsidRDefault="00126D23" w:rsidP="00126D23">
            <w:pPr>
              <w:spacing w:after="0" w:line="240" w:lineRule="auto"/>
              <w:jc w:val="center"/>
              <w:rPr>
                <w:color w:val="000000"/>
                <w:lang w:val="en-US"/>
              </w:rPr>
            </w:pPr>
            <w:r w:rsidRPr="00126D23">
              <w:rPr>
                <w:color w:val="000000"/>
                <w:lang w:val="en-US"/>
              </w:rPr>
              <w:t>10,9%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F8FBDFE" w14:textId="4A126AEC" w:rsidR="00126D23" w:rsidRPr="00126D23" w:rsidRDefault="00126D23" w:rsidP="00126D23">
            <w:pPr>
              <w:spacing w:after="0" w:line="240" w:lineRule="auto"/>
              <w:jc w:val="center"/>
              <w:rPr>
                <w:color w:val="000000"/>
                <w:lang w:val="en-US"/>
              </w:rPr>
            </w:pPr>
            <w:r>
              <w:rPr>
                <w:color w:val="000000"/>
                <w:lang w:val="en-US"/>
              </w:rPr>
              <w:t>10,4</w:t>
            </w:r>
            <w:r w:rsidRPr="008232AA">
              <w:rPr>
                <w:color w:val="000000"/>
                <w:lang w:val="en-US"/>
              </w:rPr>
              <w:t>%</w:t>
            </w:r>
          </w:p>
        </w:tc>
      </w:tr>
      <w:tr w:rsidR="00126D23" w:rsidRPr="008F20D9" w14:paraId="170FDE0E" w14:textId="7878B8E0"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543C4712" w14:textId="77777777" w:rsidR="00126D23" w:rsidRPr="00123DD9" w:rsidRDefault="00126D23" w:rsidP="00126D23">
            <w:pPr>
              <w:spacing w:after="0" w:line="240" w:lineRule="auto"/>
              <w:jc w:val="both"/>
              <w:rPr>
                <w:b/>
                <w:bCs/>
                <w:color w:val="000000"/>
                <w:lang w:eastAsia="el-GR"/>
              </w:rPr>
            </w:pPr>
            <w:r w:rsidRPr="00123DD9">
              <w:rPr>
                <w:b/>
                <w:bCs/>
                <w:color w:val="000000"/>
                <w:lang w:eastAsia="el-GR"/>
              </w:rPr>
              <w:t>Ανατολική Μακεδονία Θράκη</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BF91A88" w14:textId="4B83B9BE" w:rsidR="00126D23" w:rsidRPr="00123DD9" w:rsidRDefault="00126D23" w:rsidP="00126D23">
            <w:pPr>
              <w:spacing w:after="0" w:line="240" w:lineRule="auto"/>
              <w:jc w:val="center"/>
              <w:rPr>
                <w:color w:val="000000"/>
              </w:rPr>
            </w:pPr>
            <w:r>
              <w:rPr>
                <w:color w:val="000000"/>
                <w:lang w:val="en-US"/>
              </w:rPr>
              <w:t>20,4</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05E3250" w14:textId="6C30FE6A" w:rsidR="00126D23" w:rsidRPr="003F221C" w:rsidRDefault="00126D23" w:rsidP="00126D23">
            <w:pPr>
              <w:spacing w:after="0" w:line="240" w:lineRule="auto"/>
              <w:jc w:val="center"/>
              <w:rPr>
                <w:color w:val="000000"/>
                <w:lang w:val="en-US"/>
              </w:rPr>
            </w:pPr>
            <w:r w:rsidRPr="00126D23">
              <w:rPr>
                <w:color w:val="000000"/>
                <w:lang w:val="en-US"/>
              </w:rPr>
              <w:t>17,2%</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7A49C876" w14:textId="2E9D0EF0" w:rsidR="00126D23" w:rsidRPr="003F221C" w:rsidRDefault="00126D23" w:rsidP="00126D23">
            <w:pPr>
              <w:spacing w:after="0" w:line="240" w:lineRule="auto"/>
              <w:jc w:val="center"/>
              <w:rPr>
                <w:color w:val="000000"/>
                <w:lang w:val="en-US"/>
              </w:rPr>
            </w:pPr>
            <w:r w:rsidRPr="00126D23">
              <w:rPr>
                <w:color w:val="000000"/>
                <w:lang w:val="en-US"/>
              </w:rPr>
              <w:t>16,3%</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7A09CBF2" w14:textId="5A52CC5A" w:rsidR="00126D23" w:rsidRPr="003F221C" w:rsidRDefault="00126D23" w:rsidP="00126D23">
            <w:pPr>
              <w:spacing w:after="0" w:line="240" w:lineRule="auto"/>
              <w:jc w:val="center"/>
              <w:rPr>
                <w:color w:val="000000"/>
                <w:lang w:val="en-US"/>
              </w:rPr>
            </w:pPr>
            <w:r w:rsidRPr="00126D23">
              <w:rPr>
                <w:color w:val="000000"/>
                <w:lang w:val="en-US"/>
              </w:rPr>
              <w:t>19,5%</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9D267E2" w14:textId="35767741" w:rsidR="00126D23" w:rsidRPr="003F221C" w:rsidRDefault="00126D23" w:rsidP="00126D23">
            <w:pPr>
              <w:spacing w:after="0" w:line="240" w:lineRule="auto"/>
              <w:jc w:val="center"/>
              <w:rPr>
                <w:color w:val="000000"/>
                <w:lang w:val="en-US"/>
              </w:rPr>
            </w:pPr>
            <w:r w:rsidRPr="00126D23">
              <w:rPr>
                <w:color w:val="000000"/>
                <w:lang w:val="en-US"/>
              </w:rPr>
              <w:t>17,2%</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3D8C54E" w14:textId="1CC9DB4C" w:rsidR="00126D23" w:rsidRPr="003F221C" w:rsidRDefault="00126D23" w:rsidP="00126D23">
            <w:pPr>
              <w:spacing w:after="0" w:line="240" w:lineRule="auto"/>
              <w:jc w:val="center"/>
              <w:rPr>
                <w:color w:val="000000"/>
                <w:lang w:val="en-US"/>
              </w:rPr>
            </w:pPr>
            <w:r w:rsidRPr="00126D23">
              <w:rPr>
                <w:color w:val="000000"/>
                <w:lang w:val="en-US"/>
              </w:rPr>
              <w:t>16,4%</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EFFDF7" w14:textId="06EEAE8E" w:rsidR="00126D23" w:rsidRPr="003F221C" w:rsidRDefault="00126D23" w:rsidP="00126D23">
            <w:pPr>
              <w:spacing w:after="0" w:line="240" w:lineRule="auto"/>
              <w:jc w:val="center"/>
              <w:rPr>
                <w:color w:val="000000"/>
                <w:lang w:val="en-US"/>
              </w:rPr>
            </w:pPr>
            <w:r w:rsidRPr="00126D23">
              <w:rPr>
                <w:color w:val="000000"/>
                <w:lang w:val="en-US"/>
              </w:rPr>
              <w:t>16,0%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A59501A" w14:textId="2B430E68" w:rsidR="00126D23" w:rsidRPr="00126D23" w:rsidRDefault="00126D23" w:rsidP="00126D23">
            <w:pPr>
              <w:spacing w:after="0" w:line="240" w:lineRule="auto"/>
              <w:jc w:val="center"/>
              <w:rPr>
                <w:color w:val="000000"/>
                <w:lang w:val="en-US"/>
              </w:rPr>
            </w:pPr>
            <w:r>
              <w:rPr>
                <w:color w:val="000000"/>
                <w:lang w:val="en-US"/>
              </w:rPr>
              <w:t>17,2</w:t>
            </w:r>
            <w:r w:rsidRPr="008232AA">
              <w:rPr>
                <w:color w:val="000000"/>
                <w:lang w:val="en-US"/>
              </w:rPr>
              <w:t>%</w:t>
            </w:r>
          </w:p>
        </w:tc>
      </w:tr>
      <w:tr w:rsidR="00126D23" w:rsidRPr="008F20D9" w14:paraId="0C7AD1DD" w14:textId="5F62D07B"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56C68EF5" w14:textId="77777777" w:rsidR="00126D23" w:rsidRPr="00123DD9" w:rsidRDefault="00126D23" w:rsidP="00126D23">
            <w:pPr>
              <w:spacing w:after="0" w:line="240" w:lineRule="auto"/>
              <w:jc w:val="both"/>
              <w:rPr>
                <w:b/>
                <w:bCs/>
                <w:color w:val="000000"/>
                <w:lang w:eastAsia="el-GR"/>
              </w:rPr>
            </w:pPr>
            <w:r w:rsidRPr="00123DD9">
              <w:rPr>
                <w:b/>
                <w:bCs/>
                <w:color w:val="000000"/>
                <w:lang w:eastAsia="el-GR"/>
              </w:rPr>
              <w:t>Κεντρική Μακεδονία</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A8F719A" w14:textId="6D198FD1" w:rsidR="00126D23" w:rsidRPr="00123DD9" w:rsidRDefault="00126D23" w:rsidP="00126D23">
            <w:pPr>
              <w:spacing w:after="0" w:line="240" w:lineRule="auto"/>
              <w:jc w:val="center"/>
              <w:rPr>
                <w:color w:val="000000"/>
              </w:rPr>
            </w:pPr>
            <w:r>
              <w:rPr>
                <w:color w:val="000000"/>
                <w:lang w:val="en-US"/>
              </w:rPr>
              <w:t>18,5</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5FEAB3DF" w14:textId="1BAD0885" w:rsidR="00126D23" w:rsidRPr="003F221C" w:rsidRDefault="00126D23" w:rsidP="00126D23">
            <w:pPr>
              <w:spacing w:after="0" w:line="240" w:lineRule="auto"/>
              <w:jc w:val="center"/>
              <w:rPr>
                <w:color w:val="000000"/>
                <w:lang w:val="en-US"/>
              </w:rPr>
            </w:pPr>
            <w:r w:rsidRPr="00126D23">
              <w:rPr>
                <w:color w:val="000000"/>
                <w:lang w:val="en-US"/>
              </w:rPr>
              <w:t>17,8%</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5133E53" w14:textId="582C8CDD" w:rsidR="00126D23" w:rsidRPr="003F221C" w:rsidRDefault="00126D23" w:rsidP="00126D23">
            <w:pPr>
              <w:spacing w:after="0" w:line="240" w:lineRule="auto"/>
              <w:jc w:val="center"/>
              <w:rPr>
                <w:color w:val="000000"/>
                <w:lang w:val="en-US"/>
              </w:rPr>
            </w:pPr>
            <w:r w:rsidRPr="00126D23">
              <w:rPr>
                <w:color w:val="000000"/>
                <w:lang w:val="en-US"/>
              </w:rPr>
              <w:t>18,3%</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D8488E2" w14:textId="4024DD1E" w:rsidR="00126D23" w:rsidRPr="003F221C" w:rsidRDefault="00126D23" w:rsidP="00126D23">
            <w:pPr>
              <w:spacing w:after="0" w:line="240" w:lineRule="auto"/>
              <w:jc w:val="center"/>
              <w:rPr>
                <w:color w:val="000000"/>
                <w:lang w:val="en-US"/>
              </w:rPr>
            </w:pPr>
            <w:r w:rsidRPr="00126D23">
              <w:rPr>
                <w:color w:val="000000"/>
                <w:lang w:val="en-US"/>
              </w:rPr>
              <w:t>18,9%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8FFB4E1" w14:textId="614391C7" w:rsidR="00126D23" w:rsidRPr="003F221C" w:rsidRDefault="00126D23" w:rsidP="00126D23">
            <w:pPr>
              <w:spacing w:after="0" w:line="240" w:lineRule="auto"/>
              <w:jc w:val="center"/>
              <w:rPr>
                <w:color w:val="000000"/>
                <w:lang w:val="en-US"/>
              </w:rPr>
            </w:pPr>
            <w:r w:rsidRPr="00126D23">
              <w:rPr>
                <w:color w:val="000000"/>
                <w:lang w:val="en-US"/>
              </w:rPr>
              <w:t>16,1%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331357B" w14:textId="783C5CE0" w:rsidR="00126D23" w:rsidRPr="003F221C" w:rsidRDefault="00126D23" w:rsidP="00126D23">
            <w:pPr>
              <w:spacing w:after="0" w:line="240" w:lineRule="auto"/>
              <w:jc w:val="center"/>
              <w:rPr>
                <w:color w:val="000000"/>
                <w:lang w:val="en-US"/>
              </w:rPr>
            </w:pPr>
            <w:r w:rsidRPr="00126D23">
              <w:rPr>
                <w:color w:val="000000"/>
                <w:lang w:val="en-US"/>
              </w:rPr>
              <w:t>17,0%</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38B543" w14:textId="3EC3F88F" w:rsidR="00126D23" w:rsidRPr="003F221C" w:rsidRDefault="00126D23" w:rsidP="00126D23">
            <w:pPr>
              <w:spacing w:after="0" w:line="240" w:lineRule="auto"/>
              <w:jc w:val="center"/>
              <w:rPr>
                <w:color w:val="000000"/>
                <w:lang w:val="en-US"/>
              </w:rPr>
            </w:pPr>
            <w:r w:rsidRPr="00126D23">
              <w:rPr>
                <w:color w:val="000000"/>
                <w:lang w:val="en-US"/>
              </w:rPr>
              <w:t>15,0%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CE4F31F" w14:textId="02195780" w:rsidR="00126D23" w:rsidRPr="00126D23" w:rsidRDefault="00126D23" w:rsidP="00126D23">
            <w:pPr>
              <w:spacing w:after="0" w:line="240" w:lineRule="auto"/>
              <w:jc w:val="center"/>
              <w:rPr>
                <w:color w:val="000000"/>
                <w:lang w:val="en-US"/>
              </w:rPr>
            </w:pPr>
            <w:r w:rsidRPr="00126D23">
              <w:rPr>
                <w:color w:val="000000"/>
                <w:lang w:val="en-US"/>
              </w:rPr>
              <w:t>16,1</w:t>
            </w:r>
            <w:r w:rsidRPr="008232AA">
              <w:rPr>
                <w:color w:val="000000"/>
                <w:lang w:val="en-US"/>
              </w:rPr>
              <w:t>%</w:t>
            </w:r>
          </w:p>
        </w:tc>
      </w:tr>
      <w:tr w:rsidR="00126D23" w:rsidRPr="008F20D9" w14:paraId="61A73568" w14:textId="264FD071"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5ED1B2D9" w14:textId="77777777" w:rsidR="00126D23" w:rsidRPr="00123DD9" w:rsidRDefault="00126D23" w:rsidP="00126D23">
            <w:pPr>
              <w:spacing w:after="0" w:line="240" w:lineRule="auto"/>
              <w:jc w:val="both"/>
              <w:rPr>
                <w:b/>
                <w:bCs/>
                <w:color w:val="000000"/>
                <w:lang w:eastAsia="el-GR"/>
              </w:rPr>
            </w:pPr>
            <w:r w:rsidRPr="00123DD9">
              <w:rPr>
                <w:b/>
                <w:bCs/>
                <w:color w:val="000000"/>
                <w:lang w:eastAsia="el-GR"/>
              </w:rPr>
              <w:t>Δυτική Μακεδονία</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AD1F572" w14:textId="66C0DF6E" w:rsidR="00126D23" w:rsidRPr="00123DD9" w:rsidRDefault="00126D23" w:rsidP="00126D23">
            <w:pPr>
              <w:spacing w:after="0" w:line="240" w:lineRule="auto"/>
              <w:jc w:val="center"/>
              <w:rPr>
                <w:color w:val="000000"/>
              </w:rPr>
            </w:pPr>
            <w:r>
              <w:rPr>
                <w:color w:val="000000"/>
                <w:lang w:val="en-US"/>
              </w:rPr>
              <w:t>14,9</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7F924D0C" w14:textId="311B70F5" w:rsidR="00126D23" w:rsidRPr="003F221C" w:rsidRDefault="00126D23" w:rsidP="00126D23">
            <w:pPr>
              <w:spacing w:after="0" w:line="240" w:lineRule="auto"/>
              <w:jc w:val="center"/>
              <w:rPr>
                <w:color w:val="000000"/>
                <w:lang w:val="en-US"/>
              </w:rPr>
            </w:pPr>
            <w:r w:rsidRPr="00126D23">
              <w:rPr>
                <w:color w:val="000000"/>
                <w:lang w:val="en-US"/>
              </w:rPr>
              <w:t>15,4%</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6D5180C" w14:textId="04C93D40" w:rsidR="00126D23" w:rsidRPr="003F221C" w:rsidRDefault="00126D23" w:rsidP="00126D23">
            <w:pPr>
              <w:spacing w:after="0" w:line="240" w:lineRule="auto"/>
              <w:jc w:val="center"/>
              <w:rPr>
                <w:color w:val="000000"/>
                <w:lang w:val="en-US"/>
              </w:rPr>
            </w:pPr>
            <w:r w:rsidRPr="00126D23">
              <w:rPr>
                <w:color w:val="000000"/>
                <w:lang w:val="en-US"/>
              </w:rPr>
              <w:t>18,7%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99EBD25" w14:textId="373F7659" w:rsidR="00126D23" w:rsidRPr="003F221C" w:rsidRDefault="00126D23" w:rsidP="00126D23">
            <w:pPr>
              <w:spacing w:after="0" w:line="240" w:lineRule="auto"/>
              <w:jc w:val="center"/>
              <w:rPr>
                <w:color w:val="000000"/>
                <w:lang w:val="en-US"/>
              </w:rPr>
            </w:pPr>
            <w:r w:rsidRPr="00126D23">
              <w:rPr>
                <w:color w:val="000000"/>
                <w:lang w:val="en-US"/>
              </w:rPr>
              <w:t>21,1%</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841EBB0" w14:textId="18AC13B8" w:rsidR="00126D23" w:rsidRPr="003F221C" w:rsidRDefault="00126D23" w:rsidP="00126D23">
            <w:pPr>
              <w:spacing w:after="0" w:line="240" w:lineRule="auto"/>
              <w:jc w:val="center"/>
              <w:rPr>
                <w:color w:val="000000"/>
                <w:lang w:val="en-US"/>
              </w:rPr>
            </w:pPr>
            <w:r w:rsidRPr="00126D23">
              <w:rPr>
                <w:color w:val="000000"/>
                <w:lang w:val="en-US"/>
              </w:rPr>
              <w:t>20,9%</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AE62BDE" w14:textId="1C7D3617" w:rsidR="00126D23" w:rsidRPr="003F221C" w:rsidRDefault="00126D23" w:rsidP="00126D23">
            <w:pPr>
              <w:spacing w:after="0" w:line="240" w:lineRule="auto"/>
              <w:jc w:val="center"/>
              <w:rPr>
                <w:color w:val="000000"/>
                <w:lang w:val="en-US"/>
              </w:rPr>
            </w:pPr>
            <w:r w:rsidRPr="00126D23">
              <w:rPr>
                <w:color w:val="000000"/>
                <w:lang w:val="en-US"/>
              </w:rPr>
              <w:t>16,7%</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A17D2B" w14:textId="0A90C555" w:rsidR="00126D23" w:rsidRPr="003F221C" w:rsidRDefault="00126D23" w:rsidP="00126D23">
            <w:pPr>
              <w:spacing w:after="0" w:line="240" w:lineRule="auto"/>
              <w:jc w:val="center"/>
              <w:rPr>
                <w:color w:val="000000"/>
                <w:lang w:val="en-US"/>
              </w:rPr>
            </w:pPr>
            <w:r w:rsidRPr="00126D23">
              <w:rPr>
                <w:color w:val="000000"/>
                <w:lang w:val="en-US"/>
              </w:rPr>
              <w:t>17,8%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5EFC5358" w14:textId="39E11048" w:rsidR="00126D23" w:rsidRPr="00126D23" w:rsidRDefault="00126D23" w:rsidP="00126D23">
            <w:pPr>
              <w:spacing w:after="0" w:line="240" w:lineRule="auto"/>
              <w:jc w:val="center"/>
              <w:rPr>
                <w:color w:val="000000"/>
                <w:lang w:val="en-US"/>
              </w:rPr>
            </w:pPr>
            <w:r w:rsidRPr="00126D23">
              <w:rPr>
                <w:color w:val="000000"/>
                <w:lang w:val="en-US"/>
              </w:rPr>
              <w:t>20,9</w:t>
            </w:r>
            <w:r w:rsidRPr="008232AA">
              <w:rPr>
                <w:color w:val="000000"/>
                <w:lang w:val="en-US"/>
              </w:rPr>
              <w:t>%</w:t>
            </w:r>
          </w:p>
        </w:tc>
      </w:tr>
      <w:tr w:rsidR="00117A03" w:rsidRPr="008F20D9" w14:paraId="51006D3D" w14:textId="11163E13"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66B8C0BA"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Ήπειρος</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FAC9BFF" w14:textId="56E71D30" w:rsidR="00117A03" w:rsidRPr="00123DD9" w:rsidRDefault="00117A03" w:rsidP="00117A03">
            <w:pPr>
              <w:spacing w:after="0" w:line="240" w:lineRule="auto"/>
              <w:jc w:val="center"/>
              <w:rPr>
                <w:color w:val="000000"/>
              </w:rPr>
            </w:pPr>
            <w:r>
              <w:rPr>
                <w:color w:val="000000"/>
                <w:lang w:val="en-US"/>
              </w:rPr>
              <w:t>15,3</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2177056" w14:textId="5AD8136F" w:rsidR="00117A03" w:rsidRPr="003F221C" w:rsidRDefault="00117A03" w:rsidP="00117A03">
            <w:pPr>
              <w:spacing w:after="0" w:line="240" w:lineRule="auto"/>
              <w:jc w:val="center"/>
              <w:rPr>
                <w:color w:val="000000"/>
                <w:lang w:val="en-US"/>
              </w:rPr>
            </w:pPr>
            <w:r w:rsidRPr="00117A03">
              <w:rPr>
                <w:color w:val="000000"/>
                <w:lang w:val="en-US"/>
              </w:rPr>
              <w:t>9,9%</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75436B3" w14:textId="2E6E77C5" w:rsidR="00117A03" w:rsidRPr="003F221C" w:rsidRDefault="00117A03" w:rsidP="00117A03">
            <w:pPr>
              <w:spacing w:after="0" w:line="240" w:lineRule="auto"/>
              <w:jc w:val="center"/>
              <w:rPr>
                <w:color w:val="000000"/>
                <w:lang w:val="en-US"/>
              </w:rPr>
            </w:pPr>
            <w:r w:rsidRPr="00117A03">
              <w:rPr>
                <w:color w:val="000000"/>
                <w:lang w:val="en-US"/>
              </w:rPr>
              <w:t>18,2%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7AF3143A" w14:textId="5EF5905D" w:rsidR="00117A03" w:rsidRPr="003F221C" w:rsidRDefault="00117A03" w:rsidP="00117A03">
            <w:pPr>
              <w:spacing w:after="0" w:line="240" w:lineRule="auto"/>
              <w:jc w:val="center"/>
              <w:rPr>
                <w:color w:val="000000"/>
                <w:lang w:val="en-US"/>
              </w:rPr>
            </w:pPr>
            <w:r w:rsidRPr="00117A03">
              <w:rPr>
                <w:color w:val="000000"/>
                <w:lang w:val="en-US"/>
              </w:rPr>
              <w:t>16,0%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80C65DB" w14:textId="0DB02AC9" w:rsidR="00117A03" w:rsidRPr="003F221C" w:rsidRDefault="00117A03" w:rsidP="00117A03">
            <w:pPr>
              <w:spacing w:after="0" w:line="240" w:lineRule="auto"/>
              <w:jc w:val="center"/>
              <w:rPr>
                <w:color w:val="000000"/>
                <w:lang w:val="en-US"/>
              </w:rPr>
            </w:pPr>
            <w:r w:rsidRPr="00117A03">
              <w:rPr>
                <w:color w:val="000000"/>
                <w:lang w:val="en-US"/>
              </w:rPr>
              <w:t>12,3%</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7381A26" w14:textId="3A66232F" w:rsidR="00117A03" w:rsidRPr="003F221C" w:rsidRDefault="00117A03" w:rsidP="00117A03">
            <w:pPr>
              <w:spacing w:after="0" w:line="240" w:lineRule="auto"/>
              <w:jc w:val="center"/>
              <w:rPr>
                <w:color w:val="000000"/>
                <w:lang w:val="en-US"/>
              </w:rPr>
            </w:pPr>
            <w:r w:rsidRPr="00117A03">
              <w:rPr>
                <w:color w:val="000000"/>
                <w:lang w:val="en-US"/>
              </w:rPr>
              <w:t>15,7%</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E9424C" w14:textId="7B608475" w:rsidR="00117A03" w:rsidRPr="003F221C" w:rsidRDefault="00117A03" w:rsidP="00117A03">
            <w:pPr>
              <w:spacing w:after="0" w:line="240" w:lineRule="auto"/>
              <w:jc w:val="center"/>
              <w:rPr>
                <w:color w:val="000000"/>
                <w:lang w:val="en-US"/>
              </w:rPr>
            </w:pPr>
            <w:r w:rsidRPr="00117A03">
              <w:rPr>
                <w:color w:val="000000"/>
                <w:lang w:val="en-US"/>
              </w:rPr>
              <w:t>14,4%</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D580FFC" w14:textId="01672CA3" w:rsidR="00117A03" w:rsidRPr="00126D23" w:rsidRDefault="00117A03" w:rsidP="00117A03">
            <w:pPr>
              <w:spacing w:after="0" w:line="240" w:lineRule="auto"/>
              <w:jc w:val="center"/>
              <w:rPr>
                <w:color w:val="000000"/>
                <w:lang w:val="en-US"/>
              </w:rPr>
            </w:pPr>
            <w:r w:rsidRPr="00126D23">
              <w:rPr>
                <w:color w:val="000000"/>
                <w:lang w:val="en-US"/>
              </w:rPr>
              <w:t>12,3</w:t>
            </w:r>
            <w:r w:rsidRPr="008232AA">
              <w:rPr>
                <w:color w:val="000000"/>
                <w:lang w:val="en-US"/>
              </w:rPr>
              <w:t>%</w:t>
            </w:r>
          </w:p>
        </w:tc>
      </w:tr>
      <w:tr w:rsidR="00117A03" w:rsidRPr="008F20D9" w14:paraId="1F0AD9DC" w14:textId="5669E90C"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186B98BA"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Θεσσαλία</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20F27DC" w14:textId="63E3DB04" w:rsidR="00117A03" w:rsidRPr="00123DD9" w:rsidRDefault="00117A03" w:rsidP="00117A03">
            <w:pPr>
              <w:spacing w:after="0" w:line="240" w:lineRule="auto"/>
              <w:jc w:val="center"/>
              <w:rPr>
                <w:color w:val="000000"/>
              </w:rPr>
            </w:pPr>
            <w:r>
              <w:rPr>
                <w:color w:val="000000"/>
                <w:lang w:val="en-US"/>
              </w:rPr>
              <w:t>23,9</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52A4BDA" w14:textId="49168A6F" w:rsidR="00117A03" w:rsidRPr="003F221C" w:rsidRDefault="00117A03" w:rsidP="00117A03">
            <w:pPr>
              <w:spacing w:after="0" w:line="240" w:lineRule="auto"/>
              <w:jc w:val="center"/>
              <w:rPr>
                <w:color w:val="000000"/>
                <w:lang w:val="en-US"/>
              </w:rPr>
            </w:pPr>
            <w:r w:rsidRPr="00117A03">
              <w:rPr>
                <w:color w:val="000000"/>
                <w:lang w:val="en-US"/>
              </w:rPr>
              <w:t>19,3%</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C6AC567" w14:textId="00C9A5BC" w:rsidR="00117A03" w:rsidRPr="003F221C" w:rsidRDefault="00117A03" w:rsidP="00117A03">
            <w:pPr>
              <w:spacing w:after="0" w:line="240" w:lineRule="auto"/>
              <w:jc w:val="center"/>
              <w:rPr>
                <w:color w:val="000000"/>
                <w:lang w:val="en-US"/>
              </w:rPr>
            </w:pPr>
            <w:r w:rsidRPr="00117A03">
              <w:rPr>
                <w:color w:val="000000"/>
                <w:lang w:val="en-US"/>
              </w:rPr>
              <w:t>18,7%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2596D26" w14:textId="52E7D5DE" w:rsidR="00117A03" w:rsidRPr="003F221C" w:rsidRDefault="00117A03" w:rsidP="00117A03">
            <w:pPr>
              <w:spacing w:after="0" w:line="240" w:lineRule="auto"/>
              <w:jc w:val="center"/>
              <w:rPr>
                <w:color w:val="000000"/>
                <w:lang w:val="en-US"/>
              </w:rPr>
            </w:pPr>
            <w:r w:rsidRPr="00117A03">
              <w:rPr>
                <w:color w:val="000000"/>
                <w:lang w:val="en-US"/>
              </w:rPr>
              <w:t>17,9%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D71422A" w14:textId="230484D0" w:rsidR="00117A03" w:rsidRPr="003F221C" w:rsidRDefault="00117A03" w:rsidP="00117A03">
            <w:pPr>
              <w:spacing w:after="0" w:line="240" w:lineRule="auto"/>
              <w:jc w:val="center"/>
              <w:rPr>
                <w:color w:val="000000"/>
                <w:lang w:val="en-US"/>
              </w:rPr>
            </w:pPr>
            <w:r w:rsidRPr="00117A03">
              <w:rPr>
                <w:color w:val="000000"/>
                <w:lang w:val="en-US"/>
              </w:rPr>
              <w:t>20,4%</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C8642D6" w14:textId="7F67D25C" w:rsidR="00117A03" w:rsidRPr="003F221C" w:rsidRDefault="00117A03" w:rsidP="00117A03">
            <w:pPr>
              <w:spacing w:after="0" w:line="240" w:lineRule="auto"/>
              <w:jc w:val="center"/>
              <w:rPr>
                <w:color w:val="000000"/>
                <w:lang w:val="en-US"/>
              </w:rPr>
            </w:pPr>
            <w:r w:rsidRPr="00117A03">
              <w:rPr>
                <w:color w:val="000000"/>
                <w:lang w:val="en-US"/>
              </w:rPr>
              <w:t>19,8%</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1A6344" w14:textId="4CFE1978" w:rsidR="00117A03" w:rsidRPr="003F221C" w:rsidRDefault="00117A03" w:rsidP="00117A03">
            <w:pPr>
              <w:spacing w:after="0" w:line="240" w:lineRule="auto"/>
              <w:jc w:val="center"/>
              <w:rPr>
                <w:color w:val="000000"/>
                <w:lang w:val="en-US"/>
              </w:rPr>
            </w:pPr>
            <w:r w:rsidRPr="00117A03">
              <w:rPr>
                <w:color w:val="000000"/>
                <w:lang w:val="en-US"/>
              </w:rPr>
              <w:t>20,6%</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81E5B89" w14:textId="60EE2163" w:rsidR="00117A03" w:rsidRPr="00126D23" w:rsidRDefault="00117A03" w:rsidP="00117A03">
            <w:pPr>
              <w:spacing w:after="0" w:line="240" w:lineRule="auto"/>
              <w:jc w:val="center"/>
              <w:rPr>
                <w:color w:val="000000"/>
                <w:lang w:val="en-US"/>
              </w:rPr>
            </w:pPr>
            <w:r w:rsidRPr="00126D23">
              <w:rPr>
                <w:color w:val="000000"/>
                <w:lang w:val="en-US"/>
              </w:rPr>
              <w:t>20,4</w:t>
            </w:r>
            <w:r w:rsidRPr="008232AA">
              <w:rPr>
                <w:color w:val="000000"/>
                <w:lang w:val="en-US"/>
              </w:rPr>
              <w:t>%</w:t>
            </w:r>
          </w:p>
        </w:tc>
      </w:tr>
      <w:tr w:rsidR="00117A03" w:rsidRPr="008F20D9" w14:paraId="402FC479" w14:textId="7FAA5901"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7E548317"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Ιόνια Νησιά</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8D717F4" w14:textId="47AFC0E7" w:rsidR="00117A03" w:rsidRPr="00123DD9" w:rsidRDefault="00117A03" w:rsidP="00117A03">
            <w:pPr>
              <w:spacing w:after="0" w:line="240" w:lineRule="auto"/>
              <w:jc w:val="center"/>
              <w:rPr>
                <w:color w:val="000000"/>
              </w:rPr>
            </w:pPr>
            <w:r>
              <w:rPr>
                <w:color w:val="000000"/>
                <w:lang w:val="en-US"/>
              </w:rPr>
              <w:t>9,2</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726909D1" w14:textId="37FE38A7" w:rsidR="00117A03" w:rsidRPr="003F221C" w:rsidRDefault="00117A03" w:rsidP="00117A03">
            <w:pPr>
              <w:spacing w:after="0" w:line="240" w:lineRule="auto"/>
              <w:jc w:val="center"/>
              <w:rPr>
                <w:color w:val="000000"/>
                <w:lang w:val="en-US"/>
              </w:rPr>
            </w:pPr>
            <w:r w:rsidRPr="00117A03">
              <w:rPr>
                <w:color w:val="000000"/>
                <w:lang w:val="en-US"/>
              </w:rPr>
              <w:t>6,4%</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FCA6917" w14:textId="2ED0233B" w:rsidR="00117A03" w:rsidRPr="003F221C" w:rsidRDefault="00117A03" w:rsidP="00117A03">
            <w:pPr>
              <w:spacing w:after="0" w:line="240" w:lineRule="auto"/>
              <w:jc w:val="center"/>
              <w:rPr>
                <w:color w:val="000000"/>
                <w:lang w:val="en-US"/>
              </w:rPr>
            </w:pPr>
            <w:r w:rsidRPr="00117A03">
              <w:rPr>
                <w:color w:val="000000"/>
                <w:lang w:val="en-US"/>
              </w:rPr>
              <w:t>8,1%</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DC9F270" w14:textId="01E449A2" w:rsidR="00117A03" w:rsidRPr="003F221C" w:rsidRDefault="00117A03" w:rsidP="00117A03">
            <w:pPr>
              <w:spacing w:after="0" w:line="240" w:lineRule="auto"/>
              <w:jc w:val="center"/>
              <w:rPr>
                <w:color w:val="000000"/>
                <w:lang w:val="en-US"/>
              </w:rPr>
            </w:pPr>
            <w:r w:rsidRPr="00117A03">
              <w:rPr>
                <w:color w:val="000000"/>
                <w:lang w:val="en-US"/>
              </w:rPr>
              <w:t>6,4%</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C0B3A3D" w14:textId="2DE96BFF" w:rsidR="00117A03" w:rsidRPr="003F221C" w:rsidRDefault="00117A03" w:rsidP="00117A03">
            <w:pPr>
              <w:spacing w:after="0" w:line="240" w:lineRule="auto"/>
              <w:jc w:val="center"/>
              <w:rPr>
                <w:color w:val="000000"/>
                <w:lang w:val="en-US"/>
              </w:rPr>
            </w:pPr>
            <w:r w:rsidRPr="00117A03">
              <w:rPr>
                <w:color w:val="000000"/>
                <w:lang w:val="en-US"/>
              </w:rPr>
              <w:t>11,2%</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C1AA185" w14:textId="6EE0EC8E" w:rsidR="00117A03" w:rsidRPr="003F221C" w:rsidRDefault="00117A03" w:rsidP="00117A03">
            <w:pPr>
              <w:spacing w:after="0" w:line="240" w:lineRule="auto"/>
              <w:jc w:val="center"/>
              <w:rPr>
                <w:color w:val="000000"/>
                <w:lang w:val="en-US"/>
              </w:rPr>
            </w:pPr>
            <w:r w:rsidRPr="00117A03">
              <w:rPr>
                <w:color w:val="000000"/>
                <w:lang w:val="en-US"/>
              </w:rPr>
              <w:t>5,0%</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F674A2" w14:textId="45DFE90A" w:rsidR="00117A03" w:rsidRPr="003F221C" w:rsidRDefault="00117A03" w:rsidP="00117A03">
            <w:pPr>
              <w:spacing w:after="0" w:line="240" w:lineRule="auto"/>
              <w:jc w:val="center"/>
              <w:rPr>
                <w:color w:val="000000"/>
                <w:lang w:val="en-US"/>
              </w:rPr>
            </w:pPr>
            <w:r w:rsidRPr="00117A03">
              <w:rPr>
                <w:color w:val="000000"/>
                <w:lang w:val="en-US"/>
              </w:rPr>
              <w:t>8,7%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5256B15" w14:textId="52B8ADBA" w:rsidR="00117A03" w:rsidRPr="00126D23" w:rsidRDefault="00117A03" w:rsidP="00117A03">
            <w:pPr>
              <w:spacing w:after="0" w:line="240" w:lineRule="auto"/>
              <w:jc w:val="center"/>
              <w:rPr>
                <w:color w:val="000000"/>
                <w:lang w:val="en-US"/>
              </w:rPr>
            </w:pPr>
            <w:r w:rsidRPr="00126D23">
              <w:rPr>
                <w:color w:val="000000"/>
                <w:lang w:val="en-US"/>
              </w:rPr>
              <w:t>11,2</w:t>
            </w:r>
            <w:r w:rsidRPr="008232AA">
              <w:rPr>
                <w:color w:val="000000"/>
                <w:lang w:val="en-US"/>
              </w:rPr>
              <w:t>%</w:t>
            </w:r>
          </w:p>
        </w:tc>
      </w:tr>
      <w:tr w:rsidR="00117A03" w:rsidRPr="008F20D9" w14:paraId="6F45065A" w14:textId="4789D7E0"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03912682"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Δυτική Ελλάδα</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3E4FCCF" w14:textId="1D06949B" w:rsidR="00117A03" w:rsidRPr="00123DD9" w:rsidRDefault="00117A03" w:rsidP="00117A03">
            <w:pPr>
              <w:spacing w:after="0" w:line="240" w:lineRule="auto"/>
              <w:jc w:val="center"/>
              <w:rPr>
                <w:color w:val="000000"/>
              </w:rPr>
            </w:pPr>
            <w:r>
              <w:rPr>
                <w:color w:val="000000"/>
                <w:lang w:val="en-US"/>
              </w:rPr>
              <w:t>20,1</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685B287" w14:textId="1AD71FE3" w:rsidR="00117A03" w:rsidRPr="003F221C" w:rsidRDefault="00117A03" w:rsidP="00117A03">
            <w:pPr>
              <w:spacing w:after="0" w:line="240" w:lineRule="auto"/>
              <w:jc w:val="center"/>
              <w:rPr>
                <w:color w:val="000000"/>
                <w:lang w:val="en-US"/>
              </w:rPr>
            </w:pPr>
            <w:r w:rsidRPr="00117A03">
              <w:rPr>
                <w:color w:val="000000"/>
                <w:lang w:val="en-US"/>
              </w:rPr>
              <w:t>18,3%</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3F3884B" w14:textId="49EF10AB" w:rsidR="00117A03" w:rsidRPr="003F221C" w:rsidRDefault="00117A03" w:rsidP="00117A03">
            <w:pPr>
              <w:spacing w:after="0" w:line="240" w:lineRule="auto"/>
              <w:jc w:val="center"/>
              <w:rPr>
                <w:color w:val="000000"/>
                <w:lang w:val="en-US"/>
              </w:rPr>
            </w:pPr>
            <w:r w:rsidRPr="00117A03">
              <w:rPr>
                <w:color w:val="000000"/>
                <w:lang w:val="en-US"/>
              </w:rPr>
              <w:t>17,4%</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557BB23" w14:textId="735F5BB7" w:rsidR="00117A03" w:rsidRPr="003F221C" w:rsidRDefault="00117A03" w:rsidP="00117A03">
            <w:pPr>
              <w:spacing w:after="0" w:line="240" w:lineRule="auto"/>
              <w:jc w:val="center"/>
              <w:rPr>
                <w:color w:val="000000"/>
                <w:lang w:val="en-US"/>
              </w:rPr>
            </w:pPr>
            <w:r w:rsidRPr="00117A03">
              <w:rPr>
                <w:color w:val="000000"/>
                <w:lang w:val="en-US"/>
              </w:rPr>
              <w:t>14,7%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57B1A094" w14:textId="2C4E7564" w:rsidR="00117A03" w:rsidRPr="003F221C" w:rsidRDefault="00117A03" w:rsidP="00117A03">
            <w:pPr>
              <w:spacing w:after="0" w:line="240" w:lineRule="auto"/>
              <w:jc w:val="center"/>
              <w:rPr>
                <w:color w:val="000000"/>
                <w:lang w:val="en-US"/>
              </w:rPr>
            </w:pPr>
            <w:r w:rsidRPr="00117A03">
              <w:rPr>
                <w:color w:val="000000"/>
                <w:lang w:val="en-US"/>
              </w:rPr>
              <w:t>15,3%</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AE4330D" w14:textId="58FA452F" w:rsidR="00117A03" w:rsidRPr="003F221C" w:rsidRDefault="00117A03" w:rsidP="00117A03">
            <w:pPr>
              <w:spacing w:after="0" w:line="240" w:lineRule="auto"/>
              <w:jc w:val="center"/>
              <w:rPr>
                <w:color w:val="000000"/>
                <w:lang w:val="en-US"/>
              </w:rPr>
            </w:pPr>
            <w:r w:rsidRPr="00117A03">
              <w:rPr>
                <w:color w:val="000000"/>
                <w:lang w:val="en-US"/>
              </w:rPr>
              <w:t>15,7%</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87B185" w14:textId="143CFD56" w:rsidR="00117A03" w:rsidRPr="003F221C" w:rsidRDefault="00117A03" w:rsidP="00117A03">
            <w:pPr>
              <w:spacing w:after="0" w:line="240" w:lineRule="auto"/>
              <w:jc w:val="center"/>
              <w:rPr>
                <w:color w:val="000000"/>
                <w:lang w:val="en-US"/>
              </w:rPr>
            </w:pPr>
            <w:r w:rsidRPr="00117A03">
              <w:rPr>
                <w:color w:val="000000"/>
                <w:lang w:val="en-US"/>
              </w:rPr>
              <w:t>17,5%</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E2B7EA6" w14:textId="7407213C" w:rsidR="00117A03" w:rsidRPr="00126D23" w:rsidRDefault="00117A03" w:rsidP="00117A03">
            <w:pPr>
              <w:spacing w:after="0" w:line="240" w:lineRule="auto"/>
              <w:jc w:val="center"/>
              <w:rPr>
                <w:color w:val="000000"/>
                <w:lang w:val="en-US"/>
              </w:rPr>
            </w:pPr>
            <w:r w:rsidRPr="00126D23">
              <w:rPr>
                <w:color w:val="000000"/>
                <w:lang w:val="en-US"/>
              </w:rPr>
              <w:t>15,3</w:t>
            </w:r>
            <w:r w:rsidRPr="008232AA">
              <w:rPr>
                <w:color w:val="000000"/>
                <w:lang w:val="en-US"/>
              </w:rPr>
              <w:t>%</w:t>
            </w:r>
          </w:p>
        </w:tc>
      </w:tr>
      <w:tr w:rsidR="00117A03" w:rsidRPr="008F20D9" w14:paraId="652D30F9" w14:textId="35A66AB7"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4611B038"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Στερεά Ελλάδα</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7E66EADF" w14:textId="5D27AF8C" w:rsidR="00117A03" w:rsidRPr="00123DD9" w:rsidRDefault="00117A03" w:rsidP="00117A03">
            <w:pPr>
              <w:spacing w:after="0" w:line="240" w:lineRule="auto"/>
              <w:jc w:val="center"/>
              <w:rPr>
                <w:color w:val="000000"/>
              </w:rPr>
            </w:pPr>
            <w:r>
              <w:rPr>
                <w:color w:val="000000"/>
                <w:lang w:val="en-US"/>
              </w:rPr>
              <w:t>15,5</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1BA58E4B" w14:textId="4F0C9773" w:rsidR="00117A03" w:rsidRPr="003F221C" w:rsidRDefault="00117A03" w:rsidP="00117A03">
            <w:pPr>
              <w:spacing w:after="0" w:line="240" w:lineRule="auto"/>
              <w:jc w:val="center"/>
              <w:rPr>
                <w:color w:val="000000"/>
                <w:lang w:val="en-US"/>
              </w:rPr>
            </w:pPr>
            <w:r w:rsidRPr="00117A03">
              <w:rPr>
                <w:color w:val="000000"/>
                <w:lang w:val="en-US"/>
              </w:rPr>
              <w:t>19,5%</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7E915472" w14:textId="311AF424" w:rsidR="00117A03" w:rsidRPr="003F221C" w:rsidRDefault="00117A03" w:rsidP="00117A03">
            <w:pPr>
              <w:spacing w:after="0" w:line="240" w:lineRule="auto"/>
              <w:jc w:val="center"/>
              <w:rPr>
                <w:color w:val="000000"/>
                <w:lang w:val="en-US"/>
              </w:rPr>
            </w:pPr>
            <w:r w:rsidRPr="00117A03">
              <w:rPr>
                <w:color w:val="000000"/>
                <w:lang w:val="en-US"/>
              </w:rPr>
              <w:t>16,7%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A8C3766" w14:textId="7214C8FD" w:rsidR="00117A03" w:rsidRPr="003F221C" w:rsidRDefault="00117A03" w:rsidP="00117A03">
            <w:pPr>
              <w:spacing w:after="0" w:line="240" w:lineRule="auto"/>
              <w:jc w:val="center"/>
              <w:rPr>
                <w:color w:val="000000"/>
                <w:lang w:val="en-US"/>
              </w:rPr>
            </w:pPr>
            <w:r w:rsidRPr="00117A03">
              <w:rPr>
                <w:color w:val="000000"/>
                <w:lang w:val="en-US"/>
              </w:rPr>
              <w:t>21,2%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0B4CAB24" w14:textId="226F8FCB" w:rsidR="00117A03" w:rsidRPr="003F221C" w:rsidRDefault="00117A03" w:rsidP="00117A03">
            <w:pPr>
              <w:spacing w:after="0" w:line="240" w:lineRule="auto"/>
              <w:jc w:val="center"/>
              <w:rPr>
                <w:color w:val="000000"/>
                <w:lang w:val="en-US"/>
              </w:rPr>
            </w:pPr>
            <w:r w:rsidRPr="00117A03">
              <w:rPr>
                <w:color w:val="000000"/>
                <w:lang w:val="en-US"/>
              </w:rPr>
              <w:t>12,1%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4899966" w14:textId="2CEC1838" w:rsidR="00117A03" w:rsidRPr="003F221C" w:rsidRDefault="00117A03" w:rsidP="00117A03">
            <w:pPr>
              <w:spacing w:after="0" w:line="240" w:lineRule="auto"/>
              <w:jc w:val="center"/>
              <w:rPr>
                <w:color w:val="000000"/>
                <w:lang w:val="en-US"/>
              </w:rPr>
            </w:pPr>
            <w:r w:rsidRPr="00117A03">
              <w:rPr>
                <w:color w:val="000000"/>
                <w:lang w:val="en-US"/>
              </w:rPr>
              <w:t>15,1%</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525445" w14:textId="7869DC08" w:rsidR="00117A03" w:rsidRPr="003F221C" w:rsidRDefault="00117A03" w:rsidP="00117A03">
            <w:pPr>
              <w:spacing w:after="0" w:line="240" w:lineRule="auto"/>
              <w:jc w:val="center"/>
              <w:rPr>
                <w:color w:val="000000"/>
                <w:lang w:val="en-US"/>
              </w:rPr>
            </w:pPr>
            <w:r w:rsidRPr="00117A03">
              <w:rPr>
                <w:color w:val="000000"/>
                <w:lang w:val="en-US"/>
              </w:rPr>
              <w:t>15,8%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4C58C21A" w14:textId="21CB4EDA" w:rsidR="00117A03" w:rsidRPr="00126D23" w:rsidRDefault="00117A03" w:rsidP="00117A03">
            <w:pPr>
              <w:spacing w:after="0" w:line="240" w:lineRule="auto"/>
              <w:jc w:val="center"/>
              <w:rPr>
                <w:color w:val="000000"/>
                <w:lang w:val="en-US"/>
              </w:rPr>
            </w:pPr>
            <w:r w:rsidRPr="00126D23">
              <w:rPr>
                <w:color w:val="000000"/>
                <w:lang w:val="en-US"/>
              </w:rPr>
              <w:t>12,1</w:t>
            </w:r>
            <w:r w:rsidRPr="008232AA">
              <w:rPr>
                <w:color w:val="000000"/>
                <w:lang w:val="en-US"/>
              </w:rPr>
              <w:t>%</w:t>
            </w:r>
          </w:p>
        </w:tc>
      </w:tr>
      <w:tr w:rsidR="00117A03" w:rsidRPr="008F20D9" w14:paraId="22F3A536" w14:textId="041B2E33" w:rsidTr="00A64EB1">
        <w:trPr>
          <w:trHeight w:val="273"/>
          <w:jc w:val="center"/>
        </w:trPr>
        <w:tc>
          <w:tcPr>
            <w:tcW w:w="2164" w:type="dxa"/>
            <w:tcBorders>
              <w:top w:val="nil"/>
              <w:left w:val="single" w:sz="4" w:space="0" w:color="000000"/>
              <w:bottom w:val="single" w:sz="4" w:space="0" w:color="000000"/>
              <w:right w:val="nil"/>
            </w:tcBorders>
            <w:shd w:val="clear" w:color="auto" w:fill="FFFFFF"/>
            <w:noWrap/>
            <w:vAlign w:val="bottom"/>
          </w:tcPr>
          <w:p w14:paraId="11BCB340" w14:textId="77777777" w:rsidR="00117A03" w:rsidRPr="00123DD9" w:rsidRDefault="00117A03" w:rsidP="00117A03">
            <w:pPr>
              <w:spacing w:after="0" w:line="240" w:lineRule="auto"/>
              <w:jc w:val="both"/>
              <w:rPr>
                <w:b/>
                <w:bCs/>
                <w:color w:val="000000"/>
                <w:lang w:eastAsia="el-GR"/>
              </w:rPr>
            </w:pPr>
            <w:r w:rsidRPr="00123DD9">
              <w:rPr>
                <w:b/>
                <w:bCs/>
                <w:color w:val="000000"/>
                <w:lang w:eastAsia="el-GR"/>
              </w:rPr>
              <w:t>Πελοπόννησος</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B614B63" w14:textId="3DDB8ED1" w:rsidR="00117A03" w:rsidRPr="00123DD9" w:rsidRDefault="00117A03" w:rsidP="00117A03">
            <w:pPr>
              <w:spacing w:after="0" w:line="240" w:lineRule="auto"/>
              <w:jc w:val="center"/>
              <w:rPr>
                <w:color w:val="000000"/>
              </w:rPr>
            </w:pPr>
            <w:r>
              <w:rPr>
                <w:color w:val="000000"/>
                <w:lang w:val="en-US"/>
              </w:rPr>
              <w:t>16,5</w:t>
            </w:r>
            <w:r w:rsidRPr="005475BA">
              <w:rPr>
                <w:color w:val="000000"/>
                <w:lang w:val="en-US"/>
              </w:rPr>
              <w:t>%</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60EB7D46" w14:textId="115FF8FF" w:rsidR="00117A03" w:rsidRPr="003F221C" w:rsidRDefault="00117A03" w:rsidP="00117A03">
            <w:pPr>
              <w:spacing w:after="0" w:line="240" w:lineRule="auto"/>
              <w:jc w:val="center"/>
              <w:rPr>
                <w:color w:val="000000"/>
                <w:lang w:val="en-US"/>
              </w:rPr>
            </w:pPr>
            <w:r w:rsidRPr="00117A03">
              <w:rPr>
                <w:color w:val="000000"/>
                <w:lang w:val="en-US"/>
              </w:rPr>
              <w:t>14,5%</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4B0A450" w14:textId="29E01B24" w:rsidR="00117A03" w:rsidRPr="003F221C" w:rsidRDefault="00117A03" w:rsidP="00117A03">
            <w:pPr>
              <w:spacing w:after="0" w:line="240" w:lineRule="auto"/>
              <w:jc w:val="center"/>
              <w:rPr>
                <w:color w:val="000000"/>
                <w:lang w:val="en-US"/>
              </w:rPr>
            </w:pPr>
            <w:r w:rsidRPr="00117A03">
              <w:rPr>
                <w:color w:val="000000"/>
                <w:lang w:val="en-US"/>
              </w:rPr>
              <w:t>13,9%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67F0A5E" w14:textId="157DF904" w:rsidR="00117A03" w:rsidRPr="003F221C" w:rsidRDefault="00117A03" w:rsidP="00117A03">
            <w:pPr>
              <w:spacing w:after="0" w:line="240" w:lineRule="auto"/>
              <w:jc w:val="center"/>
              <w:rPr>
                <w:color w:val="000000"/>
                <w:lang w:val="en-US"/>
              </w:rPr>
            </w:pPr>
            <w:r w:rsidRPr="00117A03">
              <w:rPr>
                <w:color w:val="000000"/>
                <w:lang w:val="en-US"/>
              </w:rPr>
              <w:t>14,4%</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32004E5E" w14:textId="1CC6C621" w:rsidR="00117A03" w:rsidRPr="003F221C" w:rsidRDefault="00117A03" w:rsidP="00117A03">
            <w:pPr>
              <w:spacing w:after="0" w:line="240" w:lineRule="auto"/>
              <w:jc w:val="center"/>
              <w:rPr>
                <w:color w:val="000000"/>
                <w:lang w:val="en-US"/>
              </w:rPr>
            </w:pPr>
            <w:r w:rsidRPr="00117A03">
              <w:rPr>
                <w:color w:val="000000"/>
                <w:lang w:val="en-US"/>
              </w:rPr>
              <w:t>16,9%</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02C49F2" w14:textId="10AB91E5" w:rsidR="00117A03" w:rsidRPr="003F221C" w:rsidRDefault="00117A03" w:rsidP="00117A03">
            <w:pPr>
              <w:spacing w:after="0" w:line="240" w:lineRule="auto"/>
              <w:jc w:val="center"/>
              <w:rPr>
                <w:color w:val="000000"/>
                <w:lang w:val="en-US"/>
              </w:rPr>
            </w:pPr>
            <w:r w:rsidRPr="00117A03">
              <w:rPr>
                <w:color w:val="000000"/>
                <w:lang w:val="en-US"/>
              </w:rPr>
              <w:t>15,9%</w:t>
            </w:r>
          </w:p>
        </w:tc>
        <w:tc>
          <w:tcPr>
            <w:tcW w:w="8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4FF29C" w14:textId="2108B09F" w:rsidR="00117A03" w:rsidRPr="003F221C" w:rsidRDefault="00117A03" w:rsidP="00117A03">
            <w:pPr>
              <w:spacing w:after="0" w:line="240" w:lineRule="auto"/>
              <w:jc w:val="center"/>
              <w:rPr>
                <w:color w:val="000000"/>
                <w:lang w:val="en-US"/>
              </w:rPr>
            </w:pPr>
            <w:r w:rsidRPr="00117A03">
              <w:rPr>
                <w:color w:val="000000"/>
                <w:lang w:val="en-US"/>
              </w:rPr>
              <w:t>18,9%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14:paraId="21C80A55" w14:textId="2D377C24" w:rsidR="00117A03" w:rsidRPr="00123DD9" w:rsidRDefault="00117A03" w:rsidP="00117A03">
            <w:pPr>
              <w:spacing w:after="0" w:line="240" w:lineRule="auto"/>
              <w:jc w:val="center"/>
              <w:rPr>
                <w:color w:val="000000"/>
              </w:rPr>
            </w:pPr>
            <w:r>
              <w:rPr>
                <w:color w:val="000000"/>
              </w:rPr>
              <w:t>16,9</w:t>
            </w:r>
            <w:r w:rsidRPr="008232AA">
              <w:rPr>
                <w:color w:val="000000"/>
                <w:lang w:val="en-US"/>
              </w:rPr>
              <w:t>%</w:t>
            </w:r>
          </w:p>
        </w:tc>
      </w:tr>
    </w:tbl>
    <w:p w14:paraId="31B6093B" w14:textId="77777777" w:rsidR="002C70FF" w:rsidRDefault="002C70FF" w:rsidP="00A2133B">
      <w:pPr>
        <w:spacing w:after="0" w:line="240" w:lineRule="auto"/>
        <w:jc w:val="both"/>
      </w:pPr>
    </w:p>
    <w:p w14:paraId="0B9C3F04" w14:textId="6F318EA8" w:rsidR="00C967E1" w:rsidRDefault="00841694" w:rsidP="000C5AA7">
      <w:pPr>
        <w:widowControl w:val="0"/>
        <w:spacing w:before="120" w:after="120"/>
        <w:jc w:val="both"/>
      </w:pPr>
      <w:r>
        <w:t xml:space="preserve">Επισημαίνεται ότι το </w:t>
      </w:r>
      <w:r w:rsidR="00C967E1">
        <w:t>μεθοδολογικό πλαίσιο που αναπτύχθηκε δίνει τη δυνατότητα προτεραιοποίησης των νοικοκυριών που βιώνουν ακραίες συνθήκες ενεργειακής ένδειας. Η προτεραιοποίηση δύναται να υλοποιηθεί μέσω της σύγκρισης των εύλογων δαπανών διαβίωσης και του δηλωθέντος εισοδήματος, ώστε η μεταξύ τους απόκλιση να αποτυπώνει την ένταση του φαινομένου της ενεργειακής ένδειας.</w:t>
      </w:r>
    </w:p>
    <w:p w14:paraId="31B6093E" w14:textId="63EB6CCF" w:rsidR="002C70FF" w:rsidRPr="00A2133B" w:rsidRDefault="002C70FF" w:rsidP="00BB77B3">
      <w:pPr>
        <w:spacing w:before="120" w:after="120"/>
        <w:jc w:val="both"/>
      </w:pPr>
      <w:r>
        <w:t>Στο Διάγραμμα 6 παρουσιάζ</w:t>
      </w:r>
      <w:r w:rsidR="00676B9D">
        <w:t>εται το ποσοστό</w:t>
      </w:r>
      <w:r>
        <w:t xml:space="preserve"> </w:t>
      </w:r>
      <w:r w:rsidR="008B4DB3">
        <w:t xml:space="preserve">των εύλογων δαπανών διαβίωσης </w:t>
      </w:r>
      <w:r w:rsidR="00676B9D">
        <w:t>συγκριτικά με το εισόδημα</w:t>
      </w:r>
      <w:r>
        <w:t xml:space="preserve"> για τα </w:t>
      </w:r>
      <w:r w:rsidR="006E04B1">
        <w:t>ενεργειακά φτωχά</w:t>
      </w:r>
      <w:r w:rsidR="00A64EB1">
        <w:t xml:space="preserve"> </w:t>
      </w:r>
      <w:r w:rsidR="006E04B1">
        <w:t xml:space="preserve"> </w:t>
      </w:r>
      <w:r>
        <w:t>νοικοκυριά, όπως προέκυψε από την εφαρμογή του Δείκτη Ι</w:t>
      </w:r>
      <w:r w:rsidR="008B4DB3">
        <w:t>-</w:t>
      </w:r>
      <w:r>
        <w:t>ΙΙ</w:t>
      </w:r>
      <w:r w:rsidR="001E718D" w:rsidRPr="001E718D">
        <w:rPr>
          <w:vertAlign w:val="subscript"/>
        </w:rPr>
        <w:t>2025</w:t>
      </w:r>
      <w:r>
        <w:t>.</w:t>
      </w:r>
    </w:p>
    <w:p w14:paraId="31B60940" w14:textId="6DBA4B20" w:rsidR="002C70FF" w:rsidRPr="005C53E5" w:rsidRDefault="002C70FF" w:rsidP="00BB77B3">
      <w:pPr>
        <w:spacing w:before="120" w:after="120"/>
        <w:jc w:val="both"/>
      </w:pPr>
      <w:r>
        <w:t xml:space="preserve">Το ποσοστό των νοικοκυριών το οποίο κατατάσσεται σε συγκεκριμένες κλάσεις απόκλισης για το έτος </w:t>
      </w:r>
      <w:r w:rsidR="009B3073">
        <w:t>202</w:t>
      </w:r>
      <w:r w:rsidR="008B4DB3">
        <w:t>3</w:t>
      </w:r>
      <w:r w:rsidR="009B3073">
        <w:t xml:space="preserve"> </w:t>
      </w:r>
      <w:r>
        <w:t xml:space="preserve">παρουσιάζεται στον Πίνακα </w:t>
      </w:r>
      <w:r w:rsidR="0016451F">
        <w:t>4</w:t>
      </w:r>
      <w:r>
        <w:t>.</w:t>
      </w:r>
      <w:r w:rsidR="00123DD9">
        <w:t xml:space="preserve"> </w:t>
      </w:r>
      <w:r>
        <w:t xml:space="preserve">Σύμφωνα με τα </w:t>
      </w:r>
      <w:r w:rsidR="00123DD9">
        <w:t xml:space="preserve">συγκεκριμένα </w:t>
      </w:r>
      <w:r>
        <w:t xml:space="preserve">αποτελέσματα, </w:t>
      </w:r>
      <w:r w:rsidR="00862891">
        <w:t xml:space="preserve">οι εύλογες δαπάνες διαβίωσης είναι υψηλότερες έως και 30% σε σχέση με το εισόδημα για το 58% των </w:t>
      </w:r>
      <w:r w:rsidR="006E04B1">
        <w:t>ενεργειακά φτωχών</w:t>
      </w:r>
      <w:r w:rsidR="00A64EB1">
        <w:t xml:space="preserve"> </w:t>
      </w:r>
      <w:r w:rsidR="00862891">
        <w:t>νοικοκυριών</w:t>
      </w:r>
      <w:r w:rsidR="009B3073">
        <w:t>.</w:t>
      </w:r>
    </w:p>
    <w:p w14:paraId="31B60941" w14:textId="5593A569" w:rsidR="002C70FF" w:rsidRDefault="00A16713" w:rsidP="00EB2197">
      <w:pPr>
        <w:spacing w:before="120" w:after="120"/>
        <w:jc w:val="both"/>
      </w:pPr>
      <w:r w:rsidRPr="00A7366F">
        <w:t>Σε κάθε περίπτωση</w:t>
      </w:r>
      <w:r w:rsidR="006E04B1" w:rsidRPr="00A7366F">
        <w:t>,</w:t>
      </w:r>
      <w:r w:rsidRPr="00A7366F">
        <w:t xml:space="preserve"> κατά τον σχεδιασμό και υλοποίηση των σχεδιαζόμενων μέτρων και πολιτικών </w:t>
      </w:r>
      <w:r w:rsidR="00192F08" w:rsidRPr="00A7366F">
        <w:t xml:space="preserve">σε </w:t>
      </w:r>
      <w:r w:rsidR="006E04B1" w:rsidRPr="00A7366F">
        <w:t xml:space="preserve">ενεργειακά φτωχά </w:t>
      </w:r>
      <w:r w:rsidRPr="00A7366F">
        <w:t xml:space="preserve">νοικοκυριά </w:t>
      </w:r>
      <w:r w:rsidR="00192F08" w:rsidRPr="00A7366F">
        <w:t xml:space="preserve">θα λαμβάνονται υπόψη </w:t>
      </w:r>
      <w:r w:rsidRPr="00A7366F">
        <w:t>χαρακτηριστικά, όπως τρίτεκνες και πολύτεκνες οικογένειες, μονογονεϊκές οικογένειες, οικογένειες με άτομα με αναπηρίες και χρόνιες παθήσεις κ.α.</w:t>
      </w:r>
    </w:p>
    <w:p w14:paraId="3D4032EA" w14:textId="77777777" w:rsidR="00A16713" w:rsidRDefault="00A16713" w:rsidP="00EB2197">
      <w:pPr>
        <w:spacing w:before="120" w:after="120"/>
        <w:jc w:val="both"/>
      </w:pPr>
    </w:p>
    <w:p w14:paraId="31B60942" w14:textId="2F5D8213" w:rsidR="002C70FF" w:rsidRDefault="00B87B34" w:rsidP="00370409">
      <w:pPr>
        <w:spacing w:before="120" w:after="120"/>
        <w:jc w:val="center"/>
      </w:pPr>
      <w:r>
        <w:rPr>
          <w:noProof/>
        </w:rPr>
        <w:lastRenderedPageBreak/>
        <w:drawing>
          <wp:inline distT="0" distB="0" distL="0" distR="0" wp14:anchorId="3F3BCE21" wp14:editId="0589EE5E">
            <wp:extent cx="5486400" cy="3981779"/>
            <wp:effectExtent l="0" t="0" r="0" b="0"/>
            <wp:docPr id="5669390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981779"/>
                    </a:xfrm>
                    <a:prstGeom prst="rect">
                      <a:avLst/>
                    </a:prstGeom>
                    <a:noFill/>
                  </pic:spPr>
                </pic:pic>
              </a:graphicData>
            </a:graphic>
          </wp:inline>
        </w:drawing>
      </w:r>
    </w:p>
    <w:p w14:paraId="31B60943" w14:textId="28738B02" w:rsidR="002C70FF" w:rsidRDefault="002C70FF" w:rsidP="00370409">
      <w:pPr>
        <w:pStyle w:val="Web"/>
        <w:spacing w:before="120" w:beforeAutospacing="0" w:after="120" w:afterAutospacing="0" w:line="276" w:lineRule="auto"/>
        <w:jc w:val="center"/>
        <w:rPr>
          <w:rFonts w:ascii="Calibri" w:hAnsi="Calibri" w:cs="Calibri"/>
          <w:b/>
          <w:bCs/>
          <w:sz w:val="22"/>
          <w:szCs w:val="22"/>
          <w:lang w:eastAsia="en-US"/>
        </w:rPr>
      </w:pPr>
      <w:r w:rsidRPr="009B3102">
        <w:rPr>
          <w:rFonts w:ascii="Calibri" w:hAnsi="Calibri" w:cs="Calibri"/>
          <w:b/>
          <w:bCs/>
          <w:sz w:val="22"/>
          <w:szCs w:val="22"/>
          <w:lang w:eastAsia="en-US"/>
        </w:rPr>
        <w:t xml:space="preserve">Διάγραμμα </w:t>
      </w:r>
      <w:r w:rsidR="007D1663" w:rsidRPr="009B3102">
        <w:rPr>
          <w:rFonts w:ascii="Calibri" w:hAnsi="Calibri" w:cs="Calibri"/>
          <w:b/>
          <w:bCs/>
          <w:sz w:val="22"/>
          <w:szCs w:val="22"/>
          <w:lang w:eastAsia="en-US"/>
        </w:rPr>
        <w:fldChar w:fldCharType="begin"/>
      </w:r>
      <w:r w:rsidRPr="009B3102">
        <w:rPr>
          <w:rFonts w:ascii="Calibri" w:hAnsi="Calibri" w:cs="Calibri"/>
          <w:b/>
          <w:bCs/>
          <w:sz w:val="22"/>
          <w:szCs w:val="22"/>
          <w:lang w:eastAsia="en-US"/>
        </w:rPr>
        <w:instrText xml:space="preserve"> SEQ Figure \* ARABIC </w:instrText>
      </w:r>
      <w:r w:rsidR="007D1663" w:rsidRPr="009B3102">
        <w:rPr>
          <w:rFonts w:ascii="Calibri" w:hAnsi="Calibri" w:cs="Calibri"/>
          <w:b/>
          <w:bCs/>
          <w:sz w:val="22"/>
          <w:szCs w:val="22"/>
          <w:lang w:eastAsia="en-US"/>
        </w:rPr>
        <w:fldChar w:fldCharType="separate"/>
      </w:r>
      <w:r w:rsidR="00F027FB">
        <w:rPr>
          <w:rFonts w:ascii="Calibri" w:hAnsi="Calibri" w:cs="Calibri"/>
          <w:b/>
          <w:bCs/>
          <w:noProof/>
          <w:sz w:val="22"/>
          <w:szCs w:val="22"/>
          <w:lang w:eastAsia="en-US"/>
        </w:rPr>
        <w:t>6</w:t>
      </w:r>
      <w:r w:rsidR="007D1663" w:rsidRPr="009B3102">
        <w:rPr>
          <w:rFonts w:ascii="Calibri" w:hAnsi="Calibri" w:cs="Calibri"/>
          <w:b/>
          <w:bCs/>
          <w:sz w:val="22"/>
          <w:szCs w:val="22"/>
          <w:lang w:eastAsia="en-US"/>
        </w:rPr>
        <w:fldChar w:fldCharType="end"/>
      </w:r>
      <w:r w:rsidRPr="009B3102">
        <w:rPr>
          <w:rFonts w:ascii="Calibri" w:hAnsi="Calibri" w:cs="Calibri"/>
          <w:b/>
          <w:bCs/>
          <w:sz w:val="22"/>
          <w:szCs w:val="22"/>
          <w:lang w:eastAsia="en-US"/>
        </w:rPr>
        <w:t>:</w:t>
      </w:r>
      <w:r>
        <w:rPr>
          <w:rFonts w:ascii="Calibri" w:hAnsi="Calibri" w:cs="Calibri"/>
          <w:b/>
          <w:bCs/>
          <w:sz w:val="22"/>
          <w:szCs w:val="22"/>
          <w:lang w:eastAsia="en-US"/>
        </w:rPr>
        <w:t xml:space="preserve"> Απεικόνιση απόκλισης</w:t>
      </w:r>
      <w:r w:rsidR="008B4DB3" w:rsidRPr="008B4DB3">
        <w:t xml:space="preserve"> </w:t>
      </w:r>
      <w:r w:rsidR="008B4DB3" w:rsidRPr="008B4DB3">
        <w:rPr>
          <w:rFonts w:ascii="Calibri" w:hAnsi="Calibri" w:cs="Calibri"/>
          <w:b/>
          <w:bCs/>
          <w:sz w:val="22"/>
          <w:szCs w:val="22"/>
          <w:lang w:eastAsia="en-US"/>
        </w:rPr>
        <w:t xml:space="preserve">των εύλογων δαπανών διαβίωσης από το εισόδημα </w:t>
      </w:r>
      <w:r w:rsidR="008B4DB3">
        <w:rPr>
          <w:rFonts w:ascii="Calibri" w:hAnsi="Calibri" w:cs="Calibri"/>
          <w:b/>
          <w:bCs/>
          <w:sz w:val="22"/>
          <w:szCs w:val="22"/>
          <w:lang w:eastAsia="en-US"/>
        </w:rPr>
        <w:t>για τα πληττόμενα νοικοκυριά</w:t>
      </w:r>
      <w:r>
        <w:rPr>
          <w:rFonts w:ascii="Calibri" w:hAnsi="Calibri" w:cs="Calibri"/>
          <w:b/>
          <w:bCs/>
          <w:sz w:val="22"/>
          <w:szCs w:val="22"/>
          <w:lang w:eastAsia="en-US"/>
        </w:rPr>
        <w:t xml:space="preserve"> το έτος </w:t>
      </w:r>
      <w:r w:rsidR="009B3073">
        <w:rPr>
          <w:rFonts w:ascii="Calibri" w:hAnsi="Calibri" w:cs="Calibri"/>
          <w:b/>
          <w:bCs/>
          <w:sz w:val="22"/>
          <w:szCs w:val="22"/>
          <w:lang w:eastAsia="en-US"/>
        </w:rPr>
        <w:t>202</w:t>
      </w:r>
      <w:r w:rsidR="00424E26">
        <w:rPr>
          <w:rFonts w:ascii="Calibri" w:hAnsi="Calibri" w:cs="Calibri"/>
          <w:b/>
          <w:bCs/>
          <w:sz w:val="22"/>
          <w:szCs w:val="22"/>
          <w:lang w:eastAsia="en-US"/>
        </w:rPr>
        <w:t>3</w:t>
      </w:r>
      <w:r w:rsidR="00B87B34">
        <w:rPr>
          <w:rFonts w:ascii="Calibri" w:hAnsi="Calibri" w:cs="Calibri"/>
          <w:b/>
          <w:bCs/>
          <w:sz w:val="22"/>
          <w:szCs w:val="22"/>
          <w:lang w:eastAsia="en-US"/>
        </w:rPr>
        <w:t xml:space="preserve"> που συμμετείχαν στην έρευνα της ΕΟΠ</w:t>
      </w:r>
      <w:r w:rsidRPr="00DD2C88">
        <w:rPr>
          <w:rFonts w:ascii="Calibri" w:hAnsi="Calibri" w:cs="Calibri"/>
          <w:b/>
          <w:bCs/>
          <w:sz w:val="22"/>
          <w:szCs w:val="22"/>
          <w:lang w:eastAsia="en-US"/>
        </w:rPr>
        <w:t>.</w:t>
      </w:r>
    </w:p>
    <w:p w14:paraId="31B60944" w14:textId="77777777" w:rsidR="002C70FF" w:rsidRPr="00DD2C88" w:rsidRDefault="002C70FF" w:rsidP="00370409">
      <w:pPr>
        <w:pStyle w:val="Web"/>
        <w:spacing w:before="120" w:beforeAutospacing="0" w:after="120" w:afterAutospacing="0" w:line="276" w:lineRule="auto"/>
        <w:jc w:val="center"/>
        <w:rPr>
          <w:rFonts w:ascii="Calibri" w:hAnsi="Calibri" w:cs="Calibri"/>
          <w:b/>
          <w:bCs/>
          <w:sz w:val="22"/>
          <w:szCs w:val="22"/>
          <w:lang w:eastAsia="en-US"/>
        </w:rPr>
      </w:pPr>
    </w:p>
    <w:p w14:paraId="7A49CE0A" w14:textId="3AFC6879" w:rsidR="009B3073" w:rsidRPr="00863598" w:rsidRDefault="009B3073" w:rsidP="009B3073">
      <w:pPr>
        <w:pStyle w:val="a7"/>
        <w:keepNext/>
        <w:jc w:val="center"/>
        <w:rPr>
          <w:sz w:val="22"/>
          <w:szCs w:val="22"/>
        </w:rPr>
      </w:pPr>
      <w:r w:rsidRPr="00863598">
        <w:rPr>
          <w:color w:val="auto"/>
          <w:sz w:val="22"/>
          <w:szCs w:val="22"/>
        </w:rPr>
        <w:t xml:space="preserve">Πίνακας </w:t>
      </w:r>
      <w:r w:rsidR="00677626">
        <w:rPr>
          <w:color w:val="auto"/>
          <w:sz w:val="22"/>
          <w:szCs w:val="22"/>
        </w:rPr>
        <w:t>4</w:t>
      </w:r>
      <w:r w:rsidRPr="00863598">
        <w:rPr>
          <w:color w:val="auto"/>
          <w:sz w:val="22"/>
          <w:szCs w:val="22"/>
        </w:rPr>
        <w:t xml:space="preserve">: </w:t>
      </w:r>
      <w:r>
        <w:rPr>
          <w:color w:val="auto"/>
          <w:sz w:val="22"/>
          <w:szCs w:val="22"/>
        </w:rPr>
        <w:t xml:space="preserve">Κλάσεις αποκλίσεων </w:t>
      </w:r>
      <w:bookmarkStart w:id="11" w:name="_Hlk198622387"/>
      <w:r>
        <w:rPr>
          <w:color w:val="auto"/>
          <w:sz w:val="22"/>
          <w:szCs w:val="22"/>
        </w:rPr>
        <w:t xml:space="preserve">των </w:t>
      </w:r>
      <w:r w:rsidR="008B4DB3">
        <w:rPr>
          <w:color w:val="auto"/>
          <w:sz w:val="22"/>
          <w:szCs w:val="22"/>
        </w:rPr>
        <w:t>εύλογων δαπανών διαβίωσης από το εισόδημα</w:t>
      </w:r>
      <w:r>
        <w:rPr>
          <w:color w:val="auto"/>
          <w:sz w:val="22"/>
          <w:szCs w:val="22"/>
        </w:rPr>
        <w:t xml:space="preserve"> </w:t>
      </w:r>
      <w:bookmarkEnd w:id="11"/>
      <w:r w:rsidR="008B4DB3" w:rsidRPr="008B4DB3">
        <w:rPr>
          <w:color w:val="auto"/>
          <w:sz w:val="22"/>
          <w:szCs w:val="22"/>
        </w:rPr>
        <w:t xml:space="preserve">για τα πληττόμενα νοικοκυριά </w:t>
      </w:r>
      <w:r>
        <w:rPr>
          <w:color w:val="auto"/>
          <w:sz w:val="22"/>
          <w:szCs w:val="22"/>
        </w:rPr>
        <w:t xml:space="preserve">το </w:t>
      </w:r>
      <w:r w:rsidRPr="006C71C2">
        <w:rPr>
          <w:color w:val="auto"/>
          <w:sz w:val="22"/>
          <w:szCs w:val="22"/>
        </w:rPr>
        <w:t xml:space="preserve">έτος </w:t>
      </w:r>
      <w:r>
        <w:rPr>
          <w:color w:val="auto"/>
          <w:sz w:val="22"/>
          <w:szCs w:val="22"/>
        </w:rPr>
        <w:t>202</w:t>
      </w:r>
      <w:r w:rsidR="008B4DB3">
        <w:rPr>
          <w:color w:val="auto"/>
          <w:sz w:val="22"/>
          <w:szCs w:val="22"/>
        </w:rPr>
        <w:t>3</w:t>
      </w:r>
      <w:r w:rsidRPr="00863598">
        <w:rPr>
          <w:color w:val="auto"/>
          <w:sz w:val="22"/>
          <w:szCs w:val="22"/>
        </w:rPr>
        <w:t>.</w:t>
      </w:r>
    </w:p>
    <w:tbl>
      <w:tblPr>
        <w:tblW w:w="6297" w:type="dxa"/>
        <w:jc w:val="center"/>
        <w:tblLayout w:type="fixed"/>
        <w:tblLook w:val="00A0" w:firstRow="1" w:lastRow="0" w:firstColumn="1" w:lastColumn="0" w:noHBand="0" w:noVBand="0"/>
      </w:tblPr>
      <w:tblGrid>
        <w:gridCol w:w="3291"/>
        <w:gridCol w:w="3006"/>
      </w:tblGrid>
      <w:tr w:rsidR="009B3073" w:rsidRPr="008F20D9" w14:paraId="673BEBD5" w14:textId="77777777" w:rsidTr="00F027FB">
        <w:trPr>
          <w:trHeight w:val="258"/>
          <w:jc w:val="center"/>
        </w:trPr>
        <w:tc>
          <w:tcPr>
            <w:tcW w:w="3291" w:type="dxa"/>
            <w:tcBorders>
              <w:top w:val="single" w:sz="4" w:space="0" w:color="000000"/>
              <w:left w:val="single" w:sz="4" w:space="0" w:color="000000"/>
              <w:bottom w:val="single" w:sz="4" w:space="0" w:color="000000"/>
              <w:right w:val="nil"/>
            </w:tcBorders>
            <w:shd w:val="clear" w:color="auto" w:fill="DBE5F1" w:themeFill="accent1" w:themeFillTint="33"/>
            <w:noWrap/>
            <w:vAlign w:val="bottom"/>
          </w:tcPr>
          <w:p w14:paraId="7C7242A6" w14:textId="3187310A" w:rsidR="009B3073" w:rsidRPr="00F027FB" w:rsidRDefault="00862891" w:rsidP="00694A55">
            <w:pPr>
              <w:spacing w:after="0" w:line="240" w:lineRule="auto"/>
              <w:jc w:val="center"/>
              <w:rPr>
                <w:b/>
                <w:bCs/>
                <w:color w:val="000000"/>
                <w:lang w:eastAsia="el-GR"/>
              </w:rPr>
            </w:pPr>
            <w:r w:rsidRPr="00F027FB">
              <w:rPr>
                <w:b/>
                <w:bCs/>
                <w:color w:val="000000"/>
                <w:lang w:eastAsia="el-GR"/>
              </w:rPr>
              <w:t>Λόγος εύλογων δαπανών διαβίωσης προς εισόδημα</w:t>
            </w:r>
          </w:p>
        </w:tc>
        <w:tc>
          <w:tcPr>
            <w:tcW w:w="30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4673E599" w14:textId="5D20F9BE" w:rsidR="009B3073" w:rsidRPr="00F027FB" w:rsidRDefault="00862891" w:rsidP="00694A55">
            <w:pPr>
              <w:spacing w:after="0" w:line="240" w:lineRule="auto"/>
              <w:jc w:val="center"/>
              <w:rPr>
                <w:b/>
                <w:bCs/>
                <w:color w:val="000000"/>
                <w:lang w:eastAsia="el-GR"/>
              </w:rPr>
            </w:pPr>
            <w:r w:rsidRPr="00F027FB">
              <w:rPr>
                <w:b/>
                <w:bCs/>
                <w:color w:val="000000"/>
                <w:lang w:eastAsia="el-GR"/>
              </w:rPr>
              <w:t>Ποσοστό πληττόμενων νοικοκυριών</w:t>
            </w:r>
          </w:p>
        </w:tc>
      </w:tr>
      <w:tr w:rsidR="00862891" w:rsidRPr="008F20D9" w14:paraId="5B5CD3A5" w14:textId="77777777" w:rsidTr="00F027FB">
        <w:trPr>
          <w:trHeight w:val="258"/>
          <w:jc w:val="center"/>
        </w:trPr>
        <w:tc>
          <w:tcPr>
            <w:tcW w:w="3291" w:type="dxa"/>
            <w:tcBorders>
              <w:top w:val="single" w:sz="4" w:space="0" w:color="000000"/>
              <w:left w:val="single" w:sz="4" w:space="0" w:color="000000"/>
              <w:bottom w:val="single" w:sz="4" w:space="0" w:color="000000"/>
              <w:right w:val="nil"/>
            </w:tcBorders>
            <w:shd w:val="clear" w:color="auto" w:fill="FFFFFF"/>
            <w:noWrap/>
            <w:vAlign w:val="bottom"/>
          </w:tcPr>
          <w:p w14:paraId="00D32EA3" w14:textId="7797DE61" w:rsidR="00862891" w:rsidRPr="00F027FB" w:rsidRDefault="00862891" w:rsidP="00862891">
            <w:pPr>
              <w:spacing w:after="0" w:line="240" w:lineRule="auto"/>
              <w:jc w:val="center"/>
              <w:rPr>
                <w:b/>
                <w:bCs/>
                <w:color w:val="000000"/>
                <w:lang w:eastAsia="el-GR"/>
              </w:rPr>
            </w:pPr>
            <w:r w:rsidRPr="00F027FB">
              <w:rPr>
                <w:b/>
                <w:bCs/>
                <w:color w:val="000000"/>
                <w:lang w:eastAsia="el-GR"/>
              </w:rPr>
              <w:t>110%</w:t>
            </w:r>
          </w:p>
        </w:tc>
        <w:tc>
          <w:tcPr>
            <w:tcW w:w="300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B0D80A" w14:textId="4E1F96E1" w:rsidR="00862891" w:rsidRPr="00F027FB" w:rsidRDefault="00862891" w:rsidP="00862891">
            <w:pPr>
              <w:spacing w:after="0" w:line="240" w:lineRule="auto"/>
              <w:jc w:val="center"/>
              <w:rPr>
                <w:color w:val="000000"/>
              </w:rPr>
            </w:pPr>
            <w:r w:rsidRPr="00F027FB">
              <w:rPr>
                <w:color w:val="000000"/>
              </w:rPr>
              <w:t>24,2%</w:t>
            </w:r>
          </w:p>
        </w:tc>
      </w:tr>
      <w:tr w:rsidR="00862891" w:rsidRPr="008F20D9" w14:paraId="3D193A1E"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13304858" w14:textId="5ECCAEFA" w:rsidR="00862891" w:rsidRPr="00F027FB" w:rsidRDefault="00862891" w:rsidP="00862891">
            <w:pPr>
              <w:spacing w:after="0" w:line="240" w:lineRule="auto"/>
              <w:jc w:val="center"/>
              <w:rPr>
                <w:b/>
                <w:bCs/>
                <w:color w:val="000000"/>
                <w:lang w:eastAsia="el-GR"/>
              </w:rPr>
            </w:pPr>
            <w:r w:rsidRPr="00F027FB">
              <w:rPr>
                <w:b/>
                <w:bCs/>
                <w:color w:val="000000"/>
                <w:lang w:eastAsia="el-GR"/>
              </w:rPr>
              <w:t>111%-120%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3E5424EC" w14:textId="77357166" w:rsidR="00862891" w:rsidRPr="00F027FB" w:rsidRDefault="00862891" w:rsidP="00862891">
            <w:pPr>
              <w:spacing w:after="0" w:line="240" w:lineRule="auto"/>
              <w:jc w:val="center"/>
              <w:rPr>
                <w:color w:val="000000"/>
                <w:lang w:val="en-US"/>
              </w:rPr>
            </w:pPr>
            <w:r w:rsidRPr="00F027FB">
              <w:rPr>
                <w:color w:val="000000"/>
              </w:rPr>
              <w:t>19,2%</w:t>
            </w:r>
          </w:p>
        </w:tc>
      </w:tr>
      <w:tr w:rsidR="00862891" w:rsidRPr="008F20D9" w14:paraId="786A8E39"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0BD75636" w14:textId="613EE981" w:rsidR="00862891" w:rsidRPr="00F027FB" w:rsidRDefault="00862891" w:rsidP="00862891">
            <w:pPr>
              <w:spacing w:after="0" w:line="240" w:lineRule="auto"/>
              <w:jc w:val="center"/>
              <w:rPr>
                <w:b/>
                <w:bCs/>
                <w:color w:val="000000"/>
                <w:lang w:eastAsia="el-GR"/>
              </w:rPr>
            </w:pPr>
            <w:r w:rsidRPr="00F027FB">
              <w:rPr>
                <w:b/>
                <w:bCs/>
                <w:color w:val="000000"/>
                <w:lang w:eastAsia="el-GR"/>
              </w:rPr>
              <w:t>121%-130%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5F1309C4" w14:textId="0453AB31" w:rsidR="00862891" w:rsidRPr="00F027FB" w:rsidRDefault="00862891" w:rsidP="00862891">
            <w:pPr>
              <w:spacing w:after="0" w:line="240" w:lineRule="auto"/>
              <w:jc w:val="center"/>
              <w:rPr>
                <w:color w:val="000000"/>
                <w:lang w:val="en-US"/>
              </w:rPr>
            </w:pPr>
            <w:r w:rsidRPr="00F027FB">
              <w:rPr>
                <w:color w:val="000000"/>
              </w:rPr>
              <w:t>15,1%</w:t>
            </w:r>
          </w:p>
        </w:tc>
      </w:tr>
      <w:tr w:rsidR="00862891" w:rsidRPr="008F20D9" w14:paraId="1234B55B"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2ADF21BC" w14:textId="1B0CB4C6" w:rsidR="00862891" w:rsidRPr="00F027FB" w:rsidRDefault="00862891" w:rsidP="00862891">
            <w:pPr>
              <w:spacing w:after="0" w:line="240" w:lineRule="auto"/>
              <w:jc w:val="center"/>
              <w:rPr>
                <w:b/>
                <w:bCs/>
                <w:color w:val="000000"/>
                <w:lang w:eastAsia="el-GR"/>
              </w:rPr>
            </w:pPr>
            <w:r w:rsidRPr="00F027FB">
              <w:rPr>
                <w:b/>
                <w:bCs/>
                <w:color w:val="000000"/>
                <w:lang w:eastAsia="el-GR"/>
              </w:rPr>
              <w:t>131%-140%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4D1DFB0B" w14:textId="2B67922A" w:rsidR="00862891" w:rsidRPr="00F027FB" w:rsidRDefault="00862891" w:rsidP="00862891">
            <w:pPr>
              <w:spacing w:after="0" w:line="240" w:lineRule="auto"/>
              <w:jc w:val="center"/>
              <w:rPr>
                <w:color w:val="000000"/>
                <w:lang w:val="en-US"/>
              </w:rPr>
            </w:pPr>
            <w:r w:rsidRPr="00F027FB">
              <w:rPr>
                <w:color w:val="000000"/>
              </w:rPr>
              <w:t>11,1%</w:t>
            </w:r>
          </w:p>
        </w:tc>
      </w:tr>
      <w:tr w:rsidR="00862891" w:rsidRPr="008F20D9" w14:paraId="1B1D176C"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0B1E2E2B" w14:textId="12C2962B" w:rsidR="00862891" w:rsidRPr="00F027FB" w:rsidRDefault="00862891" w:rsidP="00862891">
            <w:pPr>
              <w:spacing w:after="0" w:line="240" w:lineRule="auto"/>
              <w:jc w:val="center"/>
              <w:rPr>
                <w:b/>
                <w:bCs/>
                <w:color w:val="000000"/>
                <w:lang w:eastAsia="el-GR"/>
              </w:rPr>
            </w:pPr>
            <w:r w:rsidRPr="00F027FB">
              <w:rPr>
                <w:b/>
                <w:bCs/>
                <w:color w:val="000000"/>
                <w:lang w:eastAsia="el-GR"/>
              </w:rPr>
              <w:t>141%-150%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1FDDCD63" w14:textId="3F3A5F4D" w:rsidR="00862891" w:rsidRPr="00F027FB" w:rsidRDefault="00862891" w:rsidP="00862891">
            <w:pPr>
              <w:spacing w:after="0" w:line="240" w:lineRule="auto"/>
              <w:jc w:val="center"/>
              <w:rPr>
                <w:color w:val="000000"/>
                <w:lang w:val="en-US"/>
              </w:rPr>
            </w:pPr>
            <w:r w:rsidRPr="00F027FB">
              <w:rPr>
                <w:color w:val="000000"/>
              </w:rPr>
              <w:t>6,1%</w:t>
            </w:r>
          </w:p>
        </w:tc>
      </w:tr>
      <w:tr w:rsidR="00862891" w:rsidRPr="008F20D9" w14:paraId="72414894"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46185683" w14:textId="338F7FED" w:rsidR="00862891" w:rsidRPr="00F027FB" w:rsidRDefault="00862891" w:rsidP="00862891">
            <w:pPr>
              <w:spacing w:after="0" w:line="240" w:lineRule="auto"/>
              <w:jc w:val="center"/>
              <w:rPr>
                <w:b/>
                <w:bCs/>
                <w:color w:val="000000"/>
                <w:lang w:eastAsia="el-GR"/>
              </w:rPr>
            </w:pPr>
            <w:r w:rsidRPr="00F027FB">
              <w:rPr>
                <w:b/>
                <w:bCs/>
                <w:color w:val="000000"/>
                <w:lang w:eastAsia="el-GR"/>
              </w:rPr>
              <w:t>151%-160%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2EBBB5FC" w14:textId="2EF0F3E7" w:rsidR="00862891" w:rsidRPr="00F027FB" w:rsidRDefault="00862891" w:rsidP="00862891">
            <w:pPr>
              <w:spacing w:after="0" w:line="240" w:lineRule="auto"/>
              <w:jc w:val="center"/>
              <w:rPr>
                <w:color w:val="000000"/>
                <w:lang w:val="en-US"/>
              </w:rPr>
            </w:pPr>
            <w:r w:rsidRPr="00F027FB">
              <w:rPr>
                <w:color w:val="000000"/>
              </w:rPr>
              <w:t>6,0%</w:t>
            </w:r>
          </w:p>
        </w:tc>
      </w:tr>
      <w:tr w:rsidR="00862891" w:rsidRPr="008F20D9" w14:paraId="530E2066"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4D8A5345" w14:textId="368F37DB" w:rsidR="00862891" w:rsidRPr="00F027FB" w:rsidRDefault="00862891" w:rsidP="00862891">
            <w:pPr>
              <w:spacing w:after="0" w:line="240" w:lineRule="auto"/>
              <w:jc w:val="center"/>
              <w:rPr>
                <w:b/>
                <w:bCs/>
                <w:color w:val="000000"/>
                <w:lang w:eastAsia="el-GR"/>
              </w:rPr>
            </w:pPr>
            <w:r w:rsidRPr="00F027FB">
              <w:rPr>
                <w:b/>
                <w:bCs/>
                <w:color w:val="000000"/>
                <w:lang w:eastAsia="el-GR"/>
              </w:rPr>
              <w:t>161%-180%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4EA9617F" w14:textId="0DF94015" w:rsidR="00862891" w:rsidRPr="00F027FB" w:rsidRDefault="00862891" w:rsidP="00862891">
            <w:pPr>
              <w:spacing w:after="0" w:line="240" w:lineRule="auto"/>
              <w:jc w:val="center"/>
              <w:rPr>
                <w:color w:val="000000"/>
                <w:lang w:val="en-US"/>
              </w:rPr>
            </w:pPr>
            <w:r w:rsidRPr="00F027FB">
              <w:rPr>
                <w:color w:val="000000"/>
              </w:rPr>
              <w:t>7,1%</w:t>
            </w:r>
          </w:p>
        </w:tc>
      </w:tr>
      <w:tr w:rsidR="00862891" w:rsidRPr="008F20D9" w14:paraId="7C5F1A55"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5FFDCC09" w14:textId="24CC9B3A" w:rsidR="00862891" w:rsidRPr="00F027FB" w:rsidRDefault="00862891" w:rsidP="00862891">
            <w:pPr>
              <w:spacing w:after="0" w:line="240" w:lineRule="auto"/>
              <w:jc w:val="center"/>
              <w:rPr>
                <w:b/>
                <w:bCs/>
                <w:color w:val="000000"/>
                <w:lang w:eastAsia="el-GR"/>
              </w:rPr>
            </w:pPr>
            <w:r w:rsidRPr="00F027FB">
              <w:rPr>
                <w:b/>
                <w:bCs/>
                <w:color w:val="000000"/>
                <w:lang w:eastAsia="el-GR"/>
              </w:rPr>
              <w:t>181%-200%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26894D16" w14:textId="05BFC0B6" w:rsidR="00862891" w:rsidRPr="00F027FB" w:rsidRDefault="00862891" w:rsidP="00862891">
            <w:pPr>
              <w:spacing w:after="0" w:line="240" w:lineRule="auto"/>
              <w:jc w:val="center"/>
              <w:rPr>
                <w:color w:val="000000"/>
                <w:lang w:val="en-US"/>
              </w:rPr>
            </w:pPr>
            <w:r w:rsidRPr="00F027FB">
              <w:rPr>
                <w:color w:val="000000"/>
              </w:rPr>
              <w:t>3,5%</w:t>
            </w:r>
          </w:p>
        </w:tc>
      </w:tr>
      <w:tr w:rsidR="00862891" w:rsidRPr="008F20D9" w14:paraId="33D13156"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67822ACF" w14:textId="1527519C" w:rsidR="00862891" w:rsidRPr="00F027FB" w:rsidRDefault="00862891" w:rsidP="00862891">
            <w:pPr>
              <w:spacing w:after="0" w:line="240" w:lineRule="auto"/>
              <w:jc w:val="center"/>
              <w:rPr>
                <w:b/>
                <w:bCs/>
                <w:color w:val="000000"/>
                <w:lang w:eastAsia="el-GR"/>
              </w:rPr>
            </w:pPr>
            <w:r w:rsidRPr="00F027FB">
              <w:rPr>
                <w:b/>
                <w:bCs/>
                <w:color w:val="000000"/>
                <w:lang w:eastAsia="el-GR"/>
              </w:rPr>
              <w:t>201%-300%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07B131D3" w14:textId="3ACD5AD3" w:rsidR="00862891" w:rsidRPr="00F027FB" w:rsidRDefault="00862891" w:rsidP="00862891">
            <w:pPr>
              <w:spacing w:after="0" w:line="240" w:lineRule="auto"/>
              <w:jc w:val="center"/>
              <w:rPr>
                <w:color w:val="000000"/>
                <w:lang w:val="en-US"/>
              </w:rPr>
            </w:pPr>
            <w:r w:rsidRPr="00F027FB">
              <w:rPr>
                <w:color w:val="000000"/>
              </w:rPr>
              <w:t>5,0%</w:t>
            </w:r>
          </w:p>
        </w:tc>
      </w:tr>
      <w:tr w:rsidR="00862891" w:rsidRPr="008F20D9" w14:paraId="0F37C085"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7B5E873B" w14:textId="0BDCF6DA" w:rsidR="00862891" w:rsidRPr="00F027FB" w:rsidRDefault="00862891" w:rsidP="00862891">
            <w:pPr>
              <w:spacing w:after="0" w:line="240" w:lineRule="auto"/>
              <w:jc w:val="center"/>
              <w:rPr>
                <w:b/>
                <w:bCs/>
                <w:color w:val="000000"/>
                <w:lang w:eastAsia="el-GR"/>
              </w:rPr>
            </w:pPr>
            <w:r w:rsidRPr="00F027FB">
              <w:rPr>
                <w:b/>
                <w:bCs/>
                <w:color w:val="000000"/>
                <w:lang w:eastAsia="el-GR"/>
              </w:rPr>
              <w:t>301%-400%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7476DE36" w14:textId="7F38474A" w:rsidR="00862891" w:rsidRPr="00F027FB" w:rsidRDefault="00862891" w:rsidP="00862891">
            <w:pPr>
              <w:spacing w:after="0" w:line="240" w:lineRule="auto"/>
              <w:jc w:val="center"/>
              <w:rPr>
                <w:color w:val="000000"/>
                <w:lang w:val="en-US"/>
              </w:rPr>
            </w:pPr>
            <w:r w:rsidRPr="00F027FB">
              <w:rPr>
                <w:color w:val="000000"/>
              </w:rPr>
              <w:t>1,1%</w:t>
            </w:r>
          </w:p>
        </w:tc>
      </w:tr>
      <w:tr w:rsidR="00862891" w:rsidRPr="008F20D9" w14:paraId="5FA7B1E4"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68E16E61" w14:textId="3E27A2E5" w:rsidR="00862891" w:rsidRPr="00F027FB" w:rsidRDefault="00862891" w:rsidP="00862891">
            <w:pPr>
              <w:spacing w:after="0" w:line="240" w:lineRule="auto"/>
              <w:jc w:val="center"/>
              <w:rPr>
                <w:b/>
                <w:bCs/>
                <w:color w:val="000000"/>
                <w:lang w:eastAsia="el-GR"/>
              </w:rPr>
            </w:pPr>
            <w:r w:rsidRPr="00F027FB">
              <w:rPr>
                <w:b/>
                <w:bCs/>
                <w:color w:val="000000"/>
                <w:lang w:eastAsia="el-GR"/>
              </w:rPr>
              <w:t>401%-500%</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2B5464B1" w14:textId="6DC14427" w:rsidR="00862891" w:rsidRPr="00F027FB" w:rsidRDefault="00862891" w:rsidP="00862891">
            <w:pPr>
              <w:spacing w:after="0" w:line="240" w:lineRule="auto"/>
              <w:jc w:val="center"/>
              <w:rPr>
                <w:color w:val="000000"/>
                <w:lang w:val="en-US"/>
              </w:rPr>
            </w:pPr>
            <w:r w:rsidRPr="00F027FB">
              <w:rPr>
                <w:color w:val="000000"/>
              </w:rPr>
              <w:t>0,3%</w:t>
            </w:r>
          </w:p>
        </w:tc>
      </w:tr>
      <w:tr w:rsidR="00862891" w:rsidRPr="008F20D9" w14:paraId="7FEA7A37" w14:textId="77777777" w:rsidTr="00F027FB">
        <w:trPr>
          <w:trHeight w:val="258"/>
          <w:jc w:val="center"/>
        </w:trPr>
        <w:tc>
          <w:tcPr>
            <w:tcW w:w="3291" w:type="dxa"/>
            <w:tcBorders>
              <w:top w:val="nil"/>
              <w:left w:val="single" w:sz="4" w:space="0" w:color="000000"/>
              <w:bottom w:val="single" w:sz="4" w:space="0" w:color="000000"/>
              <w:right w:val="nil"/>
            </w:tcBorders>
            <w:shd w:val="clear" w:color="auto" w:fill="FFFFFF"/>
            <w:noWrap/>
            <w:vAlign w:val="bottom"/>
          </w:tcPr>
          <w:p w14:paraId="3F605EA1" w14:textId="7FD894C1" w:rsidR="00862891" w:rsidRPr="00F027FB" w:rsidRDefault="00862891" w:rsidP="00862891">
            <w:pPr>
              <w:spacing w:after="0" w:line="240" w:lineRule="auto"/>
              <w:jc w:val="center"/>
              <w:rPr>
                <w:b/>
                <w:bCs/>
                <w:color w:val="000000"/>
                <w:lang w:eastAsia="el-GR"/>
              </w:rPr>
            </w:pPr>
            <w:r w:rsidRPr="00F027FB">
              <w:rPr>
                <w:b/>
                <w:bCs/>
                <w:color w:val="000000"/>
                <w:lang w:val="en-US" w:eastAsia="el-GR"/>
              </w:rPr>
              <w:t>&gt;</w:t>
            </w:r>
            <w:r w:rsidRPr="00F027FB">
              <w:rPr>
                <w:b/>
                <w:bCs/>
                <w:color w:val="000000"/>
                <w:lang w:eastAsia="el-GR"/>
              </w:rPr>
              <w:t>500</w:t>
            </w:r>
            <w:r w:rsidRPr="00F027FB">
              <w:rPr>
                <w:b/>
                <w:bCs/>
                <w:color w:val="000000"/>
                <w:lang w:val="en-US" w:eastAsia="el-GR"/>
              </w:rPr>
              <w:t>%</w:t>
            </w:r>
          </w:p>
        </w:tc>
        <w:tc>
          <w:tcPr>
            <w:tcW w:w="3006" w:type="dxa"/>
            <w:tcBorders>
              <w:top w:val="nil"/>
              <w:left w:val="single" w:sz="4" w:space="0" w:color="auto"/>
              <w:bottom w:val="single" w:sz="4" w:space="0" w:color="auto"/>
              <w:right w:val="single" w:sz="4" w:space="0" w:color="auto"/>
            </w:tcBorders>
            <w:shd w:val="clear" w:color="auto" w:fill="FFFFFF"/>
            <w:noWrap/>
            <w:vAlign w:val="bottom"/>
          </w:tcPr>
          <w:p w14:paraId="6F1B286B" w14:textId="51FC2C9B" w:rsidR="00862891" w:rsidRPr="00F027FB" w:rsidRDefault="00862891" w:rsidP="00862891">
            <w:pPr>
              <w:spacing w:after="0" w:line="240" w:lineRule="auto"/>
              <w:jc w:val="center"/>
              <w:rPr>
                <w:color w:val="000000"/>
                <w:lang w:val="en-US"/>
              </w:rPr>
            </w:pPr>
            <w:r w:rsidRPr="00F027FB">
              <w:rPr>
                <w:color w:val="000000"/>
              </w:rPr>
              <w:t>1,4%</w:t>
            </w:r>
          </w:p>
        </w:tc>
      </w:tr>
    </w:tbl>
    <w:p w14:paraId="10BA57B3" w14:textId="77777777" w:rsidR="0007503E" w:rsidRPr="00B17CA5" w:rsidRDefault="0007503E" w:rsidP="0007503E">
      <w:pPr>
        <w:pStyle w:val="2"/>
        <w:spacing w:before="120" w:after="120"/>
        <w:jc w:val="both"/>
        <w:rPr>
          <w:rFonts w:ascii="Calibri" w:eastAsia="Calibri" w:hAnsi="Calibri" w:cs="Calibri"/>
          <w:b w:val="0"/>
          <w:bCs w:val="0"/>
          <w:color w:val="auto"/>
          <w:sz w:val="22"/>
          <w:szCs w:val="22"/>
        </w:rPr>
      </w:pPr>
    </w:p>
    <w:p w14:paraId="706969F5" w14:textId="57C32A91" w:rsidR="00B12E56" w:rsidRPr="00B12E56" w:rsidRDefault="00B12E56" w:rsidP="0007503E">
      <w:pPr>
        <w:pStyle w:val="1"/>
        <w:numPr>
          <w:ilvl w:val="1"/>
          <w:numId w:val="1"/>
        </w:numPr>
        <w:spacing w:before="240" w:after="240"/>
        <w:rPr>
          <w:rFonts w:ascii="Calibri" w:hAnsi="Calibri" w:cs="Calibri"/>
          <w:color w:val="002060"/>
        </w:rPr>
      </w:pPr>
      <w:bookmarkStart w:id="12" w:name="_Toc214271397"/>
      <w:bookmarkStart w:id="13" w:name="_Hlk201663132"/>
      <w:r>
        <w:rPr>
          <w:rFonts w:ascii="Calibri" w:hAnsi="Calibri" w:cs="Calibri"/>
          <w:color w:val="002060"/>
        </w:rPr>
        <w:t xml:space="preserve">Νέα </w:t>
      </w:r>
      <w:r w:rsidRPr="00B12E56">
        <w:rPr>
          <w:rFonts w:ascii="Calibri" w:hAnsi="Calibri" w:cs="Calibri"/>
          <w:color w:val="002060"/>
        </w:rPr>
        <w:t>Προσέγγιση για τον εντοπισμό των πληττόμενων νοικοκυριών</w:t>
      </w:r>
      <w:bookmarkEnd w:id="12"/>
    </w:p>
    <w:bookmarkEnd w:id="13"/>
    <w:p w14:paraId="1712DF82" w14:textId="77777777" w:rsidR="00B12E56" w:rsidRDefault="00B12E56" w:rsidP="00B12E56">
      <w:pPr>
        <w:spacing w:before="120" w:after="120"/>
        <w:jc w:val="both"/>
      </w:pPr>
      <w:r>
        <w:t>Ο εντοπισμός των πληττόμενων νοικοκυριών δύναται να πραγματοποιηθεί μέσω της πλήρωσης των δυο συνθηκών, οι οποίες διαμορφώνουν τον δείκτη της ενεργειακής ένδειας.</w:t>
      </w:r>
    </w:p>
    <w:p w14:paraId="23957031" w14:textId="77777777" w:rsidR="00B12E56" w:rsidRDefault="00B12E56" w:rsidP="00B12E56">
      <w:pPr>
        <w:spacing w:before="120" w:after="120"/>
        <w:jc w:val="both"/>
      </w:pPr>
      <w:r>
        <w:t>Τα βήματα της προτεινόμενης μεθοδολογικής προσέγγισης συμπεριλαμβανομένων και των χρονικών οροσήμων, περιλαμβάνουν:</w:t>
      </w:r>
    </w:p>
    <w:p w14:paraId="36FDCF95" w14:textId="77777777" w:rsidR="00B12E56" w:rsidRDefault="00B12E56" w:rsidP="00B12E56">
      <w:pPr>
        <w:pStyle w:val="a5"/>
        <w:numPr>
          <w:ilvl w:val="0"/>
          <w:numId w:val="11"/>
        </w:numPr>
        <w:spacing w:before="120" w:after="120"/>
        <w:jc w:val="both"/>
      </w:pPr>
      <w:r>
        <w:t>Την ολοκλήρωση της Έρευνας Οικογενειακού Προϋπολογισμού από την ΕΛΣΤΑΤ για το έτος Χ-1 στο τέλος Νοεμβρίου κάθε έτους Χ και παροχή των δεδομένων της στο ΚΑΠΕ.</w:t>
      </w:r>
    </w:p>
    <w:p w14:paraId="4211616B" w14:textId="2CFFB0E2" w:rsidR="00B12E56" w:rsidRDefault="00B12E56" w:rsidP="00B12E56">
      <w:pPr>
        <w:pStyle w:val="a5"/>
        <w:numPr>
          <w:ilvl w:val="0"/>
          <w:numId w:val="11"/>
        </w:numPr>
        <w:spacing w:before="120" w:after="120"/>
        <w:jc w:val="both"/>
      </w:pPr>
      <w:r>
        <w:t xml:space="preserve">Τον υπολογισμό του δείκτη ενεργειακής ένδειας (Δείκτης </w:t>
      </w:r>
      <w:r>
        <w:rPr>
          <w:lang w:val="en-GB"/>
        </w:rPr>
        <w:t>I</w:t>
      </w:r>
      <w:r w:rsidRPr="004F353B">
        <w:t>-</w:t>
      </w:r>
      <w:r>
        <w:rPr>
          <w:lang w:val="en-GB"/>
        </w:rPr>
        <w:t>II</w:t>
      </w:r>
      <w:r w:rsidR="00F13C7F" w:rsidRPr="00B17CA5">
        <w:rPr>
          <w:vertAlign w:val="subscript"/>
        </w:rPr>
        <w:t>2025</w:t>
      </w:r>
      <w:r>
        <w:t>) από το ΚΑΠΕ μέχρι το τέλος Δεκεμβρίου κάθε έτους Χ για τα επίπεδα της ενεργειακής ένδειας το έτος Χ-1.</w:t>
      </w:r>
    </w:p>
    <w:p w14:paraId="2FD31AFE" w14:textId="482D8BC2" w:rsidR="00B12E56" w:rsidRDefault="00B12E56" w:rsidP="00B12E56">
      <w:pPr>
        <w:pStyle w:val="a5"/>
        <w:numPr>
          <w:ilvl w:val="0"/>
          <w:numId w:val="11"/>
        </w:numPr>
        <w:spacing w:before="120" w:after="120"/>
        <w:jc w:val="both"/>
      </w:pPr>
      <w:r>
        <w:t xml:space="preserve">Τον υπολογισμό των </w:t>
      </w:r>
      <w:r w:rsidRPr="00872F39">
        <w:t>προσαρμοσμένων εύλογων δαπανών</w:t>
      </w:r>
      <w:r>
        <w:t xml:space="preserve"> από το ΚΑΠΕ μέχρι το τέλος Δεκεμβρίου κάθε έτους Χ για τα χαρακτηριστικά των νοικοκυριών, τα οποία πλήττονται από την ενεργειακή ένδεια</w:t>
      </w:r>
      <w:r w:rsidRPr="00A01DAA">
        <w:t xml:space="preserve"> </w:t>
      </w:r>
      <w:r>
        <w:t xml:space="preserve">το έτος Χ-1 βάσει του δείκτη ενεργειακής ένδειας (Δείκτης </w:t>
      </w:r>
      <w:r>
        <w:rPr>
          <w:lang w:val="en-GB"/>
        </w:rPr>
        <w:t>I</w:t>
      </w:r>
      <w:r w:rsidRPr="004F353B">
        <w:t>-</w:t>
      </w:r>
      <w:r>
        <w:rPr>
          <w:lang w:val="en-GB"/>
        </w:rPr>
        <w:t>II</w:t>
      </w:r>
      <w:r w:rsidR="00F13C7F" w:rsidRPr="00B17CA5">
        <w:rPr>
          <w:vertAlign w:val="subscript"/>
        </w:rPr>
        <w:t>2025</w:t>
      </w:r>
      <w:r>
        <w:t>).</w:t>
      </w:r>
    </w:p>
    <w:p w14:paraId="50BF42F0" w14:textId="32B503AA" w:rsidR="00B12E56" w:rsidRDefault="00B12E56" w:rsidP="00B12E56">
      <w:pPr>
        <w:pStyle w:val="a5"/>
        <w:numPr>
          <w:ilvl w:val="0"/>
          <w:numId w:val="11"/>
        </w:numPr>
        <w:spacing w:before="120" w:after="120"/>
        <w:jc w:val="both"/>
      </w:pPr>
      <w:r>
        <w:t>Το σχεδιασμό και την εφαρμογή των μέτρων και πολιτικών</w:t>
      </w:r>
      <w:r w:rsidR="004A5521">
        <w:t>.</w:t>
      </w:r>
    </w:p>
    <w:p w14:paraId="114F7B00" w14:textId="7FFE0111" w:rsidR="00B12E56" w:rsidRDefault="00B12E56" w:rsidP="00883391">
      <w:pPr>
        <w:spacing w:before="120" w:after="120"/>
        <w:jc w:val="both"/>
      </w:pPr>
    </w:p>
    <w:p w14:paraId="7A747797" w14:textId="77777777" w:rsidR="00564BB4" w:rsidRPr="00184A66" w:rsidRDefault="00564BB4" w:rsidP="00564BB4">
      <w:pPr>
        <w:pStyle w:val="1"/>
        <w:numPr>
          <w:ilvl w:val="0"/>
          <w:numId w:val="1"/>
        </w:numPr>
        <w:spacing w:before="240" w:after="240"/>
        <w:rPr>
          <w:rFonts w:asciiTheme="minorHAnsi" w:hAnsiTheme="minorHAnsi" w:cstheme="minorHAnsi"/>
          <w:color w:val="002060"/>
        </w:rPr>
      </w:pPr>
      <w:bookmarkStart w:id="14" w:name="_Toc214271398"/>
      <w:r w:rsidRPr="00184A66">
        <w:rPr>
          <w:rFonts w:asciiTheme="minorHAnsi" w:hAnsiTheme="minorHAnsi" w:cstheme="minorHAnsi"/>
          <w:color w:val="002060"/>
        </w:rPr>
        <w:t>Μέτρα πολιτικής για την αντιμετώπισης της ενεργειακής ένδειας</w:t>
      </w:r>
      <w:bookmarkEnd w:id="14"/>
    </w:p>
    <w:p w14:paraId="31B60993" w14:textId="59D2823D" w:rsidR="002C70FF" w:rsidRDefault="002C70FF" w:rsidP="007D0A69">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Η αντιμετώπιση της φαινομένου της ενεργειακής ένδειας θα επιτευχθεί με το σχεδιασμό και την εφαρμογή στοχευμένων </w:t>
      </w:r>
      <w:bookmarkStart w:id="15" w:name="_Hlk198629285"/>
      <w:r>
        <w:rPr>
          <w:rFonts w:ascii="Calibri" w:hAnsi="Calibri" w:cs="Calibri"/>
          <w:sz w:val="22"/>
          <w:szCs w:val="22"/>
        </w:rPr>
        <w:t xml:space="preserve">μέτρων </w:t>
      </w:r>
      <w:r w:rsidR="004F353B">
        <w:rPr>
          <w:rFonts w:ascii="Calibri" w:hAnsi="Calibri" w:cs="Calibri"/>
          <w:sz w:val="22"/>
          <w:szCs w:val="22"/>
        </w:rPr>
        <w:t>και πολιτικών</w:t>
      </w:r>
      <w:bookmarkEnd w:id="15"/>
      <w:r>
        <w:rPr>
          <w:rFonts w:ascii="Calibri" w:hAnsi="Calibri" w:cs="Calibri"/>
          <w:sz w:val="22"/>
          <w:szCs w:val="22"/>
        </w:rPr>
        <w:t xml:space="preserve">. Η εξειδίκευση των </w:t>
      </w:r>
      <w:r w:rsidR="00453F33">
        <w:rPr>
          <w:rFonts w:ascii="Calibri" w:hAnsi="Calibri" w:cs="Calibri"/>
          <w:sz w:val="22"/>
          <w:szCs w:val="22"/>
        </w:rPr>
        <w:t>επιλεγμένων</w:t>
      </w:r>
      <w:r>
        <w:rPr>
          <w:rFonts w:ascii="Calibri" w:hAnsi="Calibri" w:cs="Calibri"/>
          <w:sz w:val="22"/>
          <w:szCs w:val="22"/>
        </w:rPr>
        <w:t xml:space="preserve"> μέτρων στο πλαίσιο του Σχεδίου Δράσης βασίζεται σε τρεις διαφορετικές διαστάσεις, οι οποίες απεικονίζονται στο Διάγραμμα </w:t>
      </w:r>
      <w:r w:rsidR="00F027FB">
        <w:rPr>
          <w:rFonts w:ascii="Calibri" w:hAnsi="Calibri" w:cs="Calibri"/>
          <w:sz w:val="22"/>
          <w:szCs w:val="22"/>
        </w:rPr>
        <w:t>7</w:t>
      </w:r>
      <w:r>
        <w:rPr>
          <w:rFonts w:ascii="Calibri" w:hAnsi="Calibri" w:cs="Calibri"/>
          <w:sz w:val="22"/>
          <w:szCs w:val="22"/>
        </w:rPr>
        <w:t>.</w:t>
      </w:r>
    </w:p>
    <w:p w14:paraId="17B4EF03" w14:textId="77777777" w:rsidR="00AC1EDC" w:rsidRPr="009278FE" w:rsidRDefault="00AC1EDC" w:rsidP="007D0A69">
      <w:pPr>
        <w:pStyle w:val="Web"/>
        <w:spacing w:before="120" w:beforeAutospacing="0" w:after="120" w:afterAutospacing="0" w:line="276" w:lineRule="auto"/>
        <w:jc w:val="both"/>
        <w:rPr>
          <w:rFonts w:ascii="Calibri" w:hAnsi="Calibri" w:cs="Calibri"/>
          <w:sz w:val="22"/>
          <w:szCs w:val="22"/>
        </w:rPr>
      </w:pPr>
    </w:p>
    <w:p w14:paraId="31B60996" w14:textId="2A7E56D3" w:rsidR="002C70FF" w:rsidRDefault="00054FD0" w:rsidP="00BB14FB">
      <w:pPr>
        <w:pStyle w:val="Web"/>
        <w:spacing w:before="120" w:beforeAutospacing="0" w:after="120" w:afterAutospacing="0" w:line="276" w:lineRule="auto"/>
        <w:rPr>
          <w:rFonts w:ascii="Calibri" w:hAnsi="Calibri" w:cs="Calibri"/>
          <w:sz w:val="22"/>
          <w:szCs w:val="22"/>
        </w:rPr>
      </w:pPr>
      <w:r>
        <w:rPr>
          <w:rFonts w:ascii="Calibri" w:hAnsi="Calibri" w:cs="Calibri"/>
          <w:noProof/>
          <w:sz w:val="22"/>
          <w:szCs w:val="22"/>
        </w:rPr>
        <w:lastRenderedPageBreak/>
        <w:drawing>
          <wp:inline distT="0" distB="0" distL="0" distR="0" wp14:anchorId="4BD5B8D0" wp14:editId="6098B486">
            <wp:extent cx="5427980" cy="3877733"/>
            <wp:effectExtent l="0" t="0" r="0" b="27940"/>
            <wp:docPr id="2559382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1B60997" w14:textId="1E5FF6A5" w:rsidR="002C70FF" w:rsidRDefault="002C70FF" w:rsidP="00DD2C88">
      <w:pPr>
        <w:pStyle w:val="Web"/>
        <w:spacing w:before="120" w:beforeAutospacing="0" w:after="120" w:afterAutospacing="0" w:line="276" w:lineRule="auto"/>
        <w:jc w:val="center"/>
        <w:rPr>
          <w:rFonts w:ascii="Calibri" w:hAnsi="Calibri" w:cs="Calibri"/>
          <w:sz w:val="22"/>
          <w:szCs w:val="22"/>
        </w:rPr>
      </w:pPr>
      <w:r w:rsidRPr="009B3102">
        <w:rPr>
          <w:rFonts w:ascii="Calibri" w:hAnsi="Calibri" w:cs="Calibri"/>
          <w:b/>
          <w:bCs/>
          <w:sz w:val="22"/>
          <w:szCs w:val="22"/>
          <w:lang w:eastAsia="en-US"/>
        </w:rPr>
        <w:t xml:space="preserve">Διάγραμμα </w:t>
      </w:r>
      <w:r w:rsidR="007D1663" w:rsidRPr="009B3102">
        <w:rPr>
          <w:rFonts w:ascii="Calibri" w:hAnsi="Calibri" w:cs="Calibri"/>
          <w:b/>
          <w:bCs/>
          <w:sz w:val="22"/>
          <w:szCs w:val="22"/>
          <w:lang w:eastAsia="en-US"/>
        </w:rPr>
        <w:fldChar w:fldCharType="begin"/>
      </w:r>
      <w:r w:rsidRPr="009B3102">
        <w:rPr>
          <w:rFonts w:ascii="Calibri" w:hAnsi="Calibri" w:cs="Calibri"/>
          <w:b/>
          <w:bCs/>
          <w:sz w:val="22"/>
          <w:szCs w:val="22"/>
          <w:lang w:eastAsia="en-US"/>
        </w:rPr>
        <w:instrText xml:space="preserve"> SEQ Figure \* ARABIC </w:instrText>
      </w:r>
      <w:r w:rsidR="007D1663" w:rsidRPr="009B3102">
        <w:rPr>
          <w:rFonts w:ascii="Calibri" w:hAnsi="Calibri" w:cs="Calibri"/>
          <w:b/>
          <w:bCs/>
          <w:sz w:val="22"/>
          <w:szCs w:val="22"/>
          <w:lang w:eastAsia="en-US"/>
        </w:rPr>
        <w:fldChar w:fldCharType="separate"/>
      </w:r>
      <w:r w:rsidR="00F027FB">
        <w:rPr>
          <w:rFonts w:ascii="Calibri" w:hAnsi="Calibri" w:cs="Calibri"/>
          <w:b/>
          <w:bCs/>
          <w:noProof/>
          <w:sz w:val="22"/>
          <w:szCs w:val="22"/>
          <w:lang w:eastAsia="en-US"/>
        </w:rPr>
        <w:t>7</w:t>
      </w:r>
      <w:r w:rsidR="007D1663" w:rsidRPr="009B3102">
        <w:rPr>
          <w:rFonts w:ascii="Calibri" w:hAnsi="Calibri" w:cs="Calibri"/>
          <w:b/>
          <w:bCs/>
          <w:sz w:val="22"/>
          <w:szCs w:val="22"/>
          <w:lang w:eastAsia="en-US"/>
        </w:rPr>
        <w:fldChar w:fldCharType="end"/>
      </w:r>
      <w:r w:rsidRPr="009B3102">
        <w:rPr>
          <w:rFonts w:ascii="Calibri" w:hAnsi="Calibri" w:cs="Calibri"/>
          <w:b/>
          <w:bCs/>
          <w:sz w:val="22"/>
          <w:szCs w:val="22"/>
          <w:lang w:eastAsia="en-US"/>
        </w:rPr>
        <w:t>:</w:t>
      </w:r>
      <w:r>
        <w:rPr>
          <w:rFonts w:ascii="Calibri" w:hAnsi="Calibri" w:cs="Calibri"/>
          <w:b/>
          <w:bCs/>
          <w:sz w:val="22"/>
          <w:szCs w:val="22"/>
          <w:lang w:eastAsia="en-US"/>
        </w:rPr>
        <w:t xml:space="preserve"> Βασικές διαστάσεις εφαρμογής μέτρων </w:t>
      </w:r>
      <w:r w:rsidR="00453F33">
        <w:rPr>
          <w:rFonts w:ascii="Calibri" w:hAnsi="Calibri" w:cs="Calibri"/>
          <w:b/>
          <w:bCs/>
          <w:sz w:val="22"/>
          <w:szCs w:val="22"/>
          <w:lang w:eastAsia="en-US"/>
        </w:rPr>
        <w:t xml:space="preserve">και </w:t>
      </w:r>
      <w:r w:rsidR="00453F33" w:rsidRPr="00453F33">
        <w:rPr>
          <w:rFonts w:ascii="Calibri" w:hAnsi="Calibri" w:cs="Calibri"/>
          <w:b/>
          <w:bCs/>
          <w:sz w:val="22"/>
          <w:szCs w:val="22"/>
          <w:lang w:eastAsia="en-US"/>
        </w:rPr>
        <w:t>πολιτικών</w:t>
      </w:r>
      <w:r w:rsidR="00F027FB">
        <w:rPr>
          <w:rFonts w:ascii="Calibri" w:hAnsi="Calibri" w:cs="Calibri"/>
          <w:b/>
          <w:bCs/>
          <w:sz w:val="22"/>
          <w:szCs w:val="22"/>
          <w:lang w:eastAsia="en-US"/>
        </w:rPr>
        <w:t xml:space="preserve"> για την αντιμετώπιση της ενεργειακής ένδειας</w:t>
      </w:r>
      <w:r>
        <w:rPr>
          <w:rFonts w:ascii="Calibri" w:hAnsi="Calibri" w:cs="Calibri"/>
          <w:b/>
          <w:bCs/>
          <w:sz w:val="22"/>
          <w:szCs w:val="22"/>
          <w:lang w:eastAsia="en-US"/>
        </w:rPr>
        <w:t>.</w:t>
      </w:r>
    </w:p>
    <w:p w14:paraId="31B60998" w14:textId="77777777" w:rsidR="002C70FF" w:rsidRPr="00E01F51" w:rsidRDefault="002C70FF" w:rsidP="00BB14FB">
      <w:pPr>
        <w:pStyle w:val="Web"/>
        <w:spacing w:before="120" w:beforeAutospacing="0" w:after="120" w:afterAutospacing="0" w:line="276" w:lineRule="auto"/>
        <w:rPr>
          <w:rFonts w:ascii="Calibri" w:hAnsi="Calibri" w:cs="Calibri"/>
          <w:sz w:val="22"/>
          <w:szCs w:val="22"/>
        </w:rPr>
      </w:pPr>
    </w:p>
    <w:p w14:paraId="31B60999" w14:textId="2D98937B" w:rsidR="002C70FF" w:rsidRDefault="002C70FF" w:rsidP="00825FCA">
      <w:pPr>
        <w:pStyle w:val="Web"/>
        <w:spacing w:before="120" w:beforeAutospacing="0" w:after="120" w:afterAutospacing="0" w:line="276" w:lineRule="auto"/>
        <w:jc w:val="both"/>
        <w:rPr>
          <w:rFonts w:ascii="Calibri" w:hAnsi="Calibri" w:cs="Calibri"/>
          <w:sz w:val="22"/>
          <w:szCs w:val="22"/>
        </w:rPr>
      </w:pPr>
      <w:r w:rsidRPr="00F228D6">
        <w:rPr>
          <w:rFonts w:ascii="Calibri" w:hAnsi="Calibri" w:cs="Calibri"/>
          <w:sz w:val="22"/>
          <w:szCs w:val="22"/>
        </w:rPr>
        <w:t>Η</w:t>
      </w:r>
      <w:r>
        <w:rPr>
          <w:rFonts w:ascii="Calibri" w:hAnsi="Calibri" w:cs="Calibri"/>
          <w:sz w:val="22"/>
          <w:szCs w:val="22"/>
        </w:rPr>
        <w:t xml:space="preserve"> </w:t>
      </w:r>
      <w:r>
        <w:rPr>
          <w:rFonts w:ascii="Calibri" w:hAnsi="Calibri" w:cs="Calibri"/>
          <w:b/>
          <w:bCs/>
          <w:sz w:val="22"/>
          <w:szCs w:val="22"/>
        </w:rPr>
        <w:t>πρώτη</w:t>
      </w:r>
      <w:r w:rsidRPr="00E01F51">
        <w:rPr>
          <w:rFonts w:ascii="Calibri" w:hAnsi="Calibri" w:cs="Calibri"/>
          <w:b/>
          <w:bCs/>
          <w:sz w:val="22"/>
          <w:szCs w:val="22"/>
        </w:rPr>
        <w:t xml:space="preserve"> διάσταση</w:t>
      </w:r>
      <w:r>
        <w:rPr>
          <w:rFonts w:ascii="Calibri" w:hAnsi="Calibri" w:cs="Calibri"/>
          <w:sz w:val="22"/>
          <w:szCs w:val="22"/>
        </w:rPr>
        <w:t xml:space="preserve"> </w:t>
      </w:r>
      <w:r w:rsidR="00AC1BA0" w:rsidRPr="00916852">
        <w:rPr>
          <w:rFonts w:ascii="Calibri" w:hAnsi="Calibri" w:cs="Calibri"/>
          <w:b/>
          <w:bCs/>
          <w:sz w:val="22"/>
          <w:szCs w:val="22"/>
        </w:rPr>
        <w:t xml:space="preserve">(Διάσταση Ι: Προστασία </w:t>
      </w:r>
      <w:r w:rsidR="00F228D6">
        <w:rPr>
          <w:rFonts w:ascii="Calibri" w:hAnsi="Calibri" w:cs="Calibri"/>
          <w:b/>
          <w:bCs/>
          <w:sz w:val="22"/>
          <w:szCs w:val="22"/>
        </w:rPr>
        <w:t>ενεργειακά φτωχών νοικοκυριών</w:t>
      </w:r>
      <w:r w:rsidR="00AC1BA0" w:rsidRPr="00916852">
        <w:rPr>
          <w:rFonts w:ascii="Calibri" w:hAnsi="Calibri" w:cs="Calibri"/>
          <w:b/>
          <w:bCs/>
          <w:sz w:val="22"/>
          <w:szCs w:val="22"/>
        </w:rPr>
        <w:t xml:space="preserve"> - Άμεση άμβλυνση των προκαλούμενων επιπτώσεων στα πλέον ευάλωτα νοικοκυριά)</w:t>
      </w:r>
      <w:r w:rsidR="00AC1BA0">
        <w:rPr>
          <w:rFonts w:ascii="Calibri" w:hAnsi="Calibri" w:cs="Calibri"/>
          <w:sz w:val="22"/>
          <w:szCs w:val="22"/>
        </w:rPr>
        <w:t xml:space="preserve"> </w:t>
      </w:r>
      <w:r>
        <w:rPr>
          <w:rFonts w:ascii="Calibri" w:hAnsi="Calibri" w:cs="Calibri"/>
          <w:sz w:val="22"/>
          <w:szCs w:val="22"/>
        </w:rPr>
        <w:t xml:space="preserve">στοχεύει στη προστασία των </w:t>
      </w:r>
      <w:r w:rsidR="00F228D6">
        <w:rPr>
          <w:rFonts w:ascii="Calibri" w:hAnsi="Calibri" w:cs="Calibri"/>
          <w:sz w:val="22"/>
          <w:szCs w:val="22"/>
        </w:rPr>
        <w:t>ενεργειακά φτωχών νοικοκυριών</w:t>
      </w:r>
      <w:r>
        <w:rPr>
          <w:rFonts w:ascii="Calibri" w:hAnsi="Calibri" w:cs="Calibri"/>
          <w:sz w:val="22"/>
          <w:szCs w:val="22"/>
        </w:rPr>
        <w:t xml:space="preserve">. Πιο συγκεκριμένα, </w:t>
      </w:r>
      <w:r w:rsidR="00615012">
        <w:rPr>
          <w:rFonts w:ascii="Calibri" w:hAnsi="Calibri" w:cs="Calibri"/>
          <w:sz w:val="22"/>
          <w:szCs w:val="22"/>
        </w:rPr>
        <w:t xml:space="preserve">θα </w:t>
      </w:r>
      <w:r w:rsidR="00615012" w:rsidRPr="00564BB4">
        <w:rPr>
          <w:rFonts w:ascii="Calibri" w:hAnsi="Calibri" w:cs="Calibri"/>
          <w:sz w:val="22"/>
          <w:szCs w:val="22"/>
        </w:rPr>
        <w:t xml:space="preserve">εφαρμοστούν </w:t>
      </w:r>
      <w:r w:rsidRPr="00564BB4">
        <w:rPr>
          <w:rFonts w:ascii="Calibri" w:hAnsi="Calibri" w:cs="Calibri"/>
          <w:sz w:val="22"/>
          <w:szCs w:val="22"/>
        </w:rPr>
        <w:t xml:space="preserve"> μέτρα πολιτικής, τα οποία συνδυάζουν τόσο τη στήριξη πληττόμενων νοικοκυριών σε ακραίες και έκτακτες συνθήκες ενεργειακής ένδειας</w:t>
      </w:r>
      <w:r w:rsidR="00AC1BA0" w:rsidRPr="00564BB4">
        <w:rPr>
          <w:rFonts w:ascii="Calibri" w:hAnsi="Calibri" w:cs="Calibri"/>
          <w:sz w:val="22"/>
          <w:szCs w:val="22"/>
        </w:rPr>
        <w:t xml:space="preserve"> με τη</w:t>
      </w:r>
      <w:r w:rsidR="00CF60EB" w:rsidRPr="00564BB4">
        <w:rPr>
          <w:rFonts w:ascii="Calibri" w:hAnsi="Calibri" w:cs="Calibri"/>
          <w:sz w:val="22"/>
          <w:szCs w:val="22"/>
        </w:rPr>
        <w:t>ν</w:t>
      </w:r>
      <w:r w:rsidR="00AC1BA0" w:rsidRPr="00564BB4">
        <w:rPr>
          <w:rFonts w:ascii="Calibri" w:hAnsi="Calibri" w:cs="Calibri"/>
          <w:sz w:val="22"/>
          <w:szCs w:val="22"/>
        </w:rPr>
        <w:t xml:space="preserve"> παροχή ενεργειακών προϊόντων σε προνομιακή</w:t>
      </w:r>
      <w:r w:rsidR="00AC1BA0">
        <w:rPr>
          <w:rFonts w:ascii="Calibri" w:hAnsi="Calibri" w:cs="Calibri"/>
          <w:sz w:val="22"/>
          <w:szCs w:val="22"/>
        </w:rPr>
        <w:t xml:space="preserve"> τιμή</w:t>
      </w:r>
      <w:r>
        <w:rPr>
          <w:rFonts w:ascii="Calibri" w:hAnsi="Calibri" w:cs="Calibri"/>
          <w:sz w:val="22"/>
          <w:szCs w:val="22"/>
        </w:rPr>
        <w:t>, όσο και την προστασία τους μέσω κανονιστικών μέτρων.</w:t>
      </w:r>
    </w:p>
    <w:p w14:paraId="31B6099A" w14:textId="2ABECD03" w:rsidR="002C70FF" w:rsidRPr="00202CB5" w:rsidRDefault="002C70FF" w:rsidP="00E01F51">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Η </w:t>
      </w:r>
      <w:r>
        <w:rPr>
          <w:rFonts w:ascii="Calibri" w:hAnsi="Calibri" w:cs="Calibri"/>
          <w:b/>
          <w:bCs/>
          <w:sz w:val="22"/>
          <w:szCs w:val="22"/>
        </w:rPr>
        <w:t>δεύτερη</w:t>
      </w:r>
      <w:r w:rsidRPr="00E01F51">
        <w:rPr>
          <w:rFonts w:ascii="Calibri" w:hAnsi="Calibri" w:cs="Calibri"/>
          <w:b/>
          <w:bCs/>
          <w:sz w:val="22"/>
          <w:szCs w:val="22"/>
        </w:rPr>
        <w:t xml:space="preserve"> διάσταση</w:t>
      </w:r>
      <w:r>
        <w:rPr>
          <w:rFonts w:ascii="Calibri" w:hAnsi="Calibri" w:cs="Calibri"/>
          <w:sz w:val="22"/>
          <w:szCs w:val="22"/>
        </w:rPr>
        <w:t xml:space="preserve"> </w:t>
      </w:r>
      <w:r w:rsidR="00AC1BA0" w:rsidRPr="00916852">
        <w:rPr>
          <w:rFonts w:ascii="Calibri" w:hAnsi="Calibri" w:cs="Calibri"/>
          <w:b/>
          <w:bCs/>
          <w:sz w:val="22"/>
          <w:szCs w:val="22"/>
        </w:rPr>
        <w:t xml:space="preserve">(Διάσταση ΙΙ: Αναπτυξιακή προοπτική - Δομική αντιμετώπιση της ενεργειακής ένδειας: Δράσεις για τη βελτίωση της ενεργειακής απόδοσης και την αύξηση της χρήσης ΑΠΕ) </w:t>
      </w:r>
      <w:r>
        <w:rPr>
          <w:rFonts w:ascii="Calibri" w:hAnsi="Calibri" w:cs="Calibri"/>
          <w:sz w:val="22"/>
          <w:szCs w:val="22"/>
        </w:rPr>
        <w:t xml:space="preserve">αποσκοπεί στη μακροπρόθεσμη καταπολέμηση του φαινομένου της ενεργειακής ένδειας μέσω της υλοποίησης χρηματοδοτικών προγραμμάτων </w:t>
      </w:r>
      <w:r w:rsidRPr="00E01F51">
        <w:rPr>
          <w:rFonts w:ascii="Calibri" w:hAnsi="Calibri" w:cs="Calibri"/>
          <w:sz w:val="22"/>
          <w:szCs w:val="22"/>
        </w:rPr>
        <w:t>για τη</w:t>
      </w:r>
      <w:r>
        <w:rPr>
          <w:rFonts w:ascii="Calibri" w:hAnsi="Calibri" w:cs="Calibri"/>
          <w:sz w:val="22"/>
          <w:szCs w:val="22"/>
        </w:rPr>
        <w:t xml:space="preserve"> </w:t>
      </w:r>
      <w:r w:rsidRPr="00E01F51">
        <w:rPr>
          <w:rFonts w:ascii="Calibri" w:hAnsi="Calibri" w:cs="Calibri"/>
          <w:sz w:val="22"/>
          <w:szCs w:val="22"/>
        </w:rPr>
        <w:t xml:space="preserve"> βελτίωση της ενεργειακή απόδοσης και την </w:t>
      </w:r>
      <w:r>
        <w:rPr>
          <w:rFonts w:ascii="Calibri" w:hAnsi="Calibri" w:cs="Calibri"/>
          <w:sz w:val="22"/>
          <w:szCs w:val="22"/>
        </w:rPr>
        <w:t>προώθηση</w:t>
      </w:r>
      <w:r w:rsidRPr="00E01F51">
        <w:rPr>
          <w:rFonts w:ascii="Calibri" w:hAnsi="Calibri" w:cs="Calibri"/>
          <w:sz w:val="22"/>
          <w:szCs w:val="22"/>
        </w:rPr>
        <w:t xml:space="preserve"> της χρήσης </w:t>
      </w:r>
      <w:r>
        <w:rPr>
          <w:rFonts w:ascii="Calibri" w:hAnsi="Calibri" w:cs="Calibri"/>
          <w:sz w:val="22"/>
          <w:szCs w:val="22"/>
        </w:rPr>
        <w:t>Ανανεώσιμων Πηγών Ενέργεια (</w:t>
      </w:r>
      <w:r w:rsidRPr="00E01F51">
        <w:rPr>
          <w:rFonts w:ascii="Calibri" w:hAnsi="Calibri" w:cs="Calibri"/>
          <w:sz w:val="22"/>
          <w:szCs w:val="22"/>
        </w:rPr>
        <w:t>ΑΠΕ</w:t>
      </w:r>
      <w:r>
        <w:rPr>
          <w:rFonts w:ascii="Calibri" w:hAnsi="Calibri" w:cs="Calibri"/>
          <w:sz w:val="22"/>
          <w:szCs w:val="22"/>
        </w:rPr>
        <w:t xml:space="preserve">) σε κτίρια κατοικίας πληττόμενων </w:t>
      </w:r>
      <w:r w:rsidRPr="00564BB4">
        <w:rPr>
          <w:rFonts w:ascii="Calibri" w:hAnsi="Calibri" w:cs="Calibri"/>
          <w:sz w:val="22"/>
          <w:szCs w:val="22"/>
        </w:rPr>
        <w:t xml:space="preserve">νοικοκυριών. </w:t>
      </w:r>
      <w:r w:rsidR="00AB6218" w:rsidRPr="000A5F57">
        <w:rPr>
          <w:rFonts w:ascii="Calibri" w:hAnsi="Calibri" w:cs="Calibri"/>
          <w:sz w:val="22"/>
          <w:szCs w:val="22"/>
        </w:rPr>
        <w:t xml:space="preserve">Τα </w:t>
      </w:r>
      <w:r w:rsidRPr="000A5F57">
        <w:rPr>
          <w:rFonts w:ascii="Calibri" w:hAnsi="Calibri" w:cs="Calibri"/>
          <w:sz w:val="22"/>
          <w:szCs w:val="22"/>
        </w:rPr>
        <w:t xml:space="preserve"> μέτρα πολιτικής</w:t>
      </w:r>
      <w:r w:rsidRPr="00564BB4">
        <w:rPr>
          <w:rFonts w:ascii="Calibri" w:hAnsi="Calibri" w:cs="Calibri"/>
          <w:sz w:val="22"/>
          <w:szCs w:val="22"/>
        </w:rPr>
        <w:t xml:space="preserve"> θα εφαρμοστούν</w:t>
      </w:r>
      <w:r w:rsidR="00615012" w:rsidRPr="00564BB4">
        <w:rPr>
          <w:rFonts w:ascii="Calibri" w:hAnsi="Calibri" w:cs="Calibri"/>
          <w:sz w:val="22"/>
          <w:szCs w:val="22"/>
        </w:rPr>
        <w:t>,</w:t>
      </w:r>
      <w:r w:rsidRPr="00564BB4">
        <w:rPr>
          <w:rFonts w:ascii="Calibri" w:hAnsi="Calibri" w:cs="Calibri"/>
          <w:sz w:val="22"/>
          <w:szCs w:val="22"/>
        </w:rPr>
        <w:t xml:space="preserve"> πλήρως</w:t>
      </w:r>
      <w:r>
        <w:rPr>
          <w:rFonts w:ascii="Calibri" w:hAnsi="Calibri" w:cs="Calibri"/>
          <w:sz w:val="22"/>
          <w:szCs w:val="22"/>
        </w:rPr>
        <w:t xml:space="preserve"> ευθυγραμμισμένα με τις βασικές αρχές σχεδιασμού που περιγράφονται στο ΕΣΕΚ, </w:t>
      </w:r>
      <w:r w:rsidR="008E2EFF">
        <w:rPr>
          <w:rFonts w:ascii="Calibri" w:hAnsi="Calibri" w:cs="Calibri"/>
          <w:sz w:val="22"/>
          <w:szCs w:val="22"/>
        </w:rPr>
        <w:t>με την αξιοποίηση</w:t>
      </w:r>
      <w:r>
        <w:rPr>
          <w:rFonts w:ascii="Calibri" w:hAnsi="Calibri" w:cs="Calibri"/>
          <w:sz w:val="22"/>
          <w:szCs w:val="22"/>
        </w:rPr>
        <w:t xml:space="preserve"> χρηματοδοτικών προγραμμάτων</w:t>
      </w:r>
      <w:r w:rsidR="008E2EFF">
        <w:rPr>
          <w:rFonts w:ascii="Calibri" w:hAnsi="Calibri" w:cs="Calibri"/>
          <w:sz w:val="22"/>
          <w:szCs w:val="22"/>
        </w:rPr>
        <w:t xml:space="preserve"> και μηχανισμών</w:t>
      </w:r>
      <w:r>
        <w:rPr>
          <w:rFonts w:ascii="Calibri" w:hAnsi="Calibri" w:cs="Calibri"/>
          <w:sz w:val="22"/>
          <w:szCs w:val="22"/>
        </w:rPr>
        <w:t xml:space="preserve"> της αγοράς.</w:t>
      </w:r>
    </w:p>
    <w:p w14:paraId="31B6099B" w14:textId="442ED262" w:rsidR="002C70FF" w:rsidRDefault="002C70FF" w:rsidP="006B3A78">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Τέλος, η </w:t>
      </w:r>
      <w:r w:rsidRPr="0093384C">
        <w:rPr>
          <w:rFonts w:ascii="Calibri" w:hAnsi="Calibri" w:cs="Calibri"/>
          <w:b/>
          <w:bCs/>
          <w:sz w:val="22"/>
          <w:szCs w:val="22"/>
        </w:rPr>
        <w:t>τρίτη</w:t>
      </w:r>
      <w:r>
        <w:rPr>
          <w:rFonts w:ascii="Calibri" w:hAnsi="Calibri" w:cs="Calibri"/>
          <w:b/>
          <w:bCs/>
          <w:sz w:val="22"/>
          <w:szCs w:val="22"/>
        </w:rPr>
        <w:t xml:space="preserve"> </w:t>
      </w:r>
      <w:r w:rsidRPr="007D0A69">
        <w:rPr>
          <w:rFonts w:ascii="Calibri" w:hAnsi="Calibri" w:cs="Calibri"/>
          <w:b/>
          <w:bCs/>
          <w:sz w:val="22"/>
          <w:szCs w:val="22"/>
        </w:rPr>
        <w:t>διάσταση</w:t>
      </w:r>
      <w:r>
        <w:rPr>
          <w:rFonts w:ascii="Calibri" w:hAnsi="Calibri" w:cs="Calibri"/>
          <w:sz w:val="22"/>
          <w:szCs w:val="22"/>
        </w:rPr>
        <w:t xml:space="preserve"> </w:t>
      </w:r>
      <w:r w:rsidR="00AC1BA0" w:rsidRPr="00916852">
        <w:rPr>
          <w:rFonts w:ascii="Calibri" w:hAnsi="Calibri" w:cs="Calibri"/>
          <w:b/>
          <w:bCs/>
          <w:sz w:val="22"/>
          <w:szCs w:val="22"/>
        </w:rPr>
        <w:t>(Διάσταση ΙΙΙ: Δράσεις ενημέρωσης, εκπαίδευσης και συντονισμού)</w:t>
      </w:r>
      <w:r w:rsidR="00AC1BA0">
        <w:rPr>
          <w:rFonts w:ascii="Calibri" w:hAnsi="Calibri" w:cs="Calibri"/>
          <w:sz w:val="22"/>
          <w:szCs w:val="22"/>
        </w:rPr>
        <w:t xml:space="preserve"> </w:t>
      </w:r>
      <w:r>
        <w:rPr>
          <w:rFonts w:ascii="Calibri" w:hAnsi="Calibri" w:cs="Calibri"/>
          <w:sz w:val="22"/>
          <w:szCs w:val="22"/>
        </w:rPr>
        <w:t xml:space="preserve">αφορά </w:t>
      </w:r>
      <w:r w:rsidR="00615012">
        <w:rPr>
          <w:rFonts w:ascii="Calibri" w:hAnsi="Calibri" w:cs="Calibri"/>
          <w:sz w:val="22"/>
          <w:szCs w:val="22"/>
        </w:rPr>
        <w:t>σ</w:t>
      </w:r>
      <w:r>
        <w:rPr>
          <w:rFonts w:ascii="Calibri" w:hAnsi="Calibri" w:cs="Calibri"/>
          <w:sz w:val="22"/>
          <w:szCs w:val="22"/>
        </w:rPr>
        <w:t>τη διεξαγωγή δράσεων ενημέρωσης</w:t>
      </w:r>
      <w:r w:rsidR="00AB6218">
        <w:rPr>
          <w:rFonts w:ascii="Calibri" w:hAnsi="Calibri" w:cs="Calibri"/>
          <w:sz w:val="22"/>
          <w:szCs w:val="22"/>
        </w:rPr>
        <w:t>,</w:t>
      </w:r>
      <w:r>
        <w:rPr>
          <w:rFonts w:ascii="Calibri" w:hAnsi="Calibri" w:cs="Calibri"/>
          <w:sz w:val="22"/>
          <w:szCs w:val="22"/>
        </w:rPr>
        <w:t xml:space="preserve">  εκπαίδευσης</w:t>
      </w:r>
      <w:r w:rsidR="00AB6218">
        <w:rPr>
          <w:rFonts w:ascii="Calibri" w:hAnsi="Calibri" w:cs="Calibri"/>
          <w:sz w:val="22"/>
          <w:szCs w:val="22"/>
        </w:rPr>
        <w:t xml:space="preserve"> και </w:t>
      </w:r>
      <w:r>
        <w:rPr>
          <w:rFonts w:ascii="Calibri" w:hAnsi="Calibri" w:cs="Calibri"/>
          <w:sz w:val="22"/>
          <w:szCs w:val="22"/>
        </w:rPr>
        <w:t xml:space="preserve"> </w:t>
      </w:r>
      <w:r w:rsidR="00AB6218">
        <w:rPr>
          <w:rFonts w:ascii="Calibri" w:hAnsi="Calibri" w:cs="Calibri"/>
          <w:sz w:val="22"/>
          <w:szCs w:val="22"/>
        </w:rPr>
        <w:t xml:space="preserve">ευαισθητοποίησης </w:t>
      </w:r>
      <w:r>
        <w:rPr>
          <w:rFonts w:ascii="Calibri" w:hAnsi="Calibri" w:cs="Calibri"/>
          <w:sz w:val="22"/>
          <w:szCs w:val="22"/>
        </w:rPr>
        <w:t>σε νοικοκυριά.</w:t>
      </w:r>
      <w:r w:rsidR="00AC1BA0">
        <w:rPr>
          <w:rFonts w:ascii="Calibri" w:hAnsi="Calibri" w:cs="Calibri"/>
          <w:sz w:val="22"/>
          <w:szCs w:val="22"/>
        </w:rPr>
        <w:t xml:space="preserve"> Επιπρόσθετα, θα αξιοποιηθούν οι Υπηρεσίες Μιας Στάσης</w:t>
      </w:r>
      <w:r w:rsidR="00615012">
        <w:rPr>
          <w:rFonts w:ascii="Calibri" w:hAnsi="Calibri" w:cs="Calibri"/>
          <w:sz w:val="22"/>
          <w:szCs w:val="22"/>
        </w:rPr>
        <w:t>,</w:t>
      </w:r>
      <w:r w:rsidR="00AC1BA0">
        <w:rPr>
          <w:rFonts w:ascii="Calibri" w:hAnsi="Calibri" w:cs="Calibri"/>
          <w:sz w:val="22"/>
          <w:szCs w:val="22"/>
        </w:rPr>
        <w:t xml:space="preserve"> με σκοπό τον εύρυθμο συντονισμό όλων των απαραίτητων δράσεων για την αντιμετώπιση της ενεργειακής ένδειας.</w:t>
      </w:r>
    </w:p>
    <w:p w14:paraId="31B6099D" w14:textId="380BB46C" w:rsidR="002C70FF" w:rsidRDefault="002C70FF" w:rsidP="00B939C9">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lastRenderedPageBreak/>
        <w:t>Τέλος, έχει σχεδιαστεί εξειδικευμένος μη</w:t>
      </w:r>
      <w:r w:rsidRPr="00986C34">
        <w:rPr>
          <w:rFonts w:ascii="Calibri" w:hAnsi="Calibri" w:cs="Calibri"/>
          <w:sz w:val="22"/>
          <w:szCs w:val="22"/>
        </w:rPr>
        <w:t xml:space="preserve">χανισμός παρακολούθησης και ελέγχου </w:t>
      </w:r>
      <w:r>
        <w:rPr>
          <w:rFonts w:ascii="Calibri" w:hAnsi="Calibri" w:cs="Calibri"/>
          <w:sz w:val="22"/>
          <w:szCs w:val="22"/>
        </w:rPr>
        <w:t>του Σ</w:t>
      </w:r>
      <w:r w:rsidRPr="00986C34">
        <w:rPr>
          <w:rFonts w:ascii="Calibri" w:hAnsi="Calibri" w:cs="Calibri"/>
          <w:sz w:val="22"/>
          <w:szCs w:val="22"/>
        </w:rPr>
        <w:t xml:space="preserve">χεδίου </w:t>
      </w:r>
      <w:r>
        <w:rPr>
          <w:rFonts w:ascii="Calibri" w:hAnsi="Calibri" w:cs="Calibri"/>
          <w:sz w:val="22"/>
          <w:szCs w:val="22"/>
        </w:rPr>
        <w:t>Δ</w:t>
      </w:r>
      <w:r w:rsidRPr="00986C34">
        <w:rPr>
          <w:rFonts w:ascii="Calibri" w:hAnsi="Calibri" w:cs="Calibri"/>
          <w:sz w:val="22"/>
          <w:szCs w:val="22"/>
        </w:rPr>
        <w:t>ράσης</w:t>
      </w:r>
      <w:r>
        <w:rPr>
          <w:rFonts w:ascii="Calibri" w:hAnsi="Calibri" w:cs="Calibri"/>
          <w:sz w:val="22"/>
          <w:szCs w:val="22"/>
        </w:rPr>
        <w:t>, στο πλαίσιο του οποίου θα αποτιμώνται τα προβλεπόμενα μέτρα πολιτικής και θα βελτιώνονται</w:t>
      </w:r>
      <w:r w:rsidR="00615012">
        <w:rPr>
          <w:rFonts w:ascii="Calibri" w:hAnsi="Calibri" w:cs="Calibri"/>
          <w:sz w:val="22"/>
          <w:szCs w:val="22"/>
        </w:rPr>
        <w:t>,</w:t>
      </w:r>
      <w:r w:rsidR="00E31A14">
        <w:rPr>
          <w:rFonts w:ascii="Calibri" w:hAnsi="Calibri" w:cs="Calibri"/>
          <w:sz w:val="22"/>
          <w:szCs w:val="22"/>
        </w:rPr>
        <w:t xml:space="preserve"> </w:t>
      </w:r>
      <w:r>
        <w:rPr>
          <w:rFonts w:ascii="Calibri" w:hAnsi="Calibri" w:cs="Calibri"/>
          <w:sz w:val="22"/>
          <w:szCs w:val="22"/>
        </w:rPr>
        <w:t>όπου κρίνεται σκόπιμο</w:t>
      </w:r>
      <w:r w:rsidR="00615012">
        <w:rPr>
          <w:rFonts w:ascii="Calibri" w:hAnsi="Calibri" w:cs="Calibri"/>
          <w:sz w:val="22"/>
          <w:szCs w:val="22"/>
        </w:rPr>
        <w:t>,</w:t>
      </w:r>
      <w:r w:rsidR="001F42C7">
        <w:rPr>
          <w:rFonts w:ascii="Calibri" w:hAnsi="Calibri" w:cs="Calibri"/>
          <w:sz w:val="22"/>
          <w:szCs w:val="22"/>
        </w:rPr>
        <w:t xml:space="preserve"> </w:t>
      </w:r>
      <w:r>
        <w:rPr>
          <w:rFonts w:ascii="Calibri" w:hAnsi="Calibri" w:cs="Calibri"/>
          <w:sz w:val="22"/>
          <w:szCs w:val="22"/>
        </w:rPr>
        <w:t xml:space="preserve">διασφαλίζοντας την επίτευξη των στόχων που έχουν τεθεί. Αναλυτική περιγραφή του μηχανισμού παρακολούθησης και ελέγχου δίνεται στο </w:t>
      </w:r>
      <w:r w:rsidR="00AC214E">
        <w:rPr>
          <w:rFonts w:ascii="Calibri" w:hAnsi="Calibri" w:cs="Calibri"/>
          <w:sz w:val="22"/>
          <w:szCs w:val="22"/>
        </w:rPr>
        <w:t xml:space="preserve">Κεφάλαιο </w:t>
      </w:r>
      <w:r>
        <w:rPr>
          <w:rFonts w:ascii="Calibri" w:hAnsi="Calibri" w:cs="Calibri"/>
          <w:sz w:val="22"/>
          <w:szCs w:val="22"/>
        </w:rPr>
        <w:t xml:space="preserve">4 του </w:t>
      </w:r>
      <w:r w:rsidR="00E31A14">
        <w:rPr>
          <w:rFonts w:ascii="Calibri" w:hAnsi="Calibri" w:cs="Calibri"/>
          <w:sz w:val="22"/>
          <w:szCs w:val="22"/>
        </w:rPr>
        <w:t xml:space="preserve">παρόντος </w:t>
      </w:r>
      <w:r>
        <w:rPr>
          <w:rFonts w:ascii="Calibri" w:hAnsi="Calibri" w:cs="Calibri"/>
          <w:sz w:val="22"/>
          <w:szCs w:val="22"/>
        </w:rPr>
        <w:t>Σχεδίου Δράσης.</w:t>
      </w:r>
    </w:p>
    <w:p w14:paraId="168706CA" w14:textId="0F3A0EB1" w:rsidR="002F42C8" w:rsidRPr="00564BB4" w:rsidRDefault="002F42C8" w:rsidP="00B939C9">
      <w:pPr>
        <w:jc w:val="both"/>
      </w:pPr>
    </w:p>
    <w:p w14:paraId="6D8D4EE3" w14:textId="3CA11C55" w:rsidR="002F42C8" w:rsidRDefault="002F42C8" w:rsidP="00B939C9">
      <w:pPr>
        <w:jc w:val="both"/>
        <w:rPr>
          <w:lang w:val="en-US"/>
        </w:rPr>
      </w:pPr>
      <w:r>
        <w:rPr>
          <w:noProof/>
        </w:rPr>
        <w:drawing>
          <wp:inline distT="0" distB="0" distL="0" distR="0" wp14:anchorId="0BC8B310" wp14:editId="21E4A596">
            <wp:extent cx="5893435" cy="4627659"/>
            <wp:effectExtent l="19050" t="0" r="31115" b="1905"/>
            <wp:docPr id="820418109"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3975DBA" w14:textId="77777777" w:rsidR="002F42C8" w:rsidRPr="00564BB4" w:rsidRDefault="002F42C8" w:rsidP="00B939C9">
      <w:pPr>
        <w:jc w:val="both"/>
        <w:rPr>
          <w:lang w:val="en-US"/>
        </w:rPr>
      </w:pPr>
    </w:p>
    <w:p w14:paraId="3AF201C5" w14:textId="77777777" w:rsidR="002F42C8" w:rsidRPr="00AF1BEE" w:rsidRDefault="002F42C8" w:rsidP="002F42C8">
      <w:pPr>
        <w:pStyle w:val="3"/>
        <w:spacing w:before="120" w:after="120"/>
        <w:rPr>
          <w:rFonts w:asciiTheme="minorHAnsi" w:hAnsiTheme="minorHAnsi" w:cstheme="minorHAnsi"/>
          <w:color w:val="002060"/>
          <w:sz w:val="24"/>
          <w:szCs w:val="24"/>
        </w:rPr>
      </w:pPr>
      <w:bookmarkStart w:id="16" w:name="_Toc214271399"/>
      <w:r w:rsidRPr="00AF1BEE">
        <w:rPr>
          <w:rFonts w:asciiTheme="minorHAnsi" w:hAnsiTheme="minorHAnsi" w:cstheme="minorHAnsi"/>
          <w:color w:val="002060"/>
          <w:sz w:val="24"/>
          <w:szCs w:val="24"/>
        </w:rPr>
        <w:t>Διάσταση Ι: Προστασία καταναλωτών - Άμεση άμβλυνση των προκαλούμενων επιπτώσεων στα πλέον ευάλωτα νοικοκυριά</w:t>
      </w:r>
      <w:bookmarkEnd w:id="16"/>
    </w:p>
    <w:p w14:paraId="713AB2D0" w14:textId="77777777" w:rsidR="002F42C8" w:rsidRDefault="002F42C8" w:rsidP="002F42C8">
      <w:pPr>
        <w:jc w:val="both"/>
      </w:pPr>
      <w:r>
        <w:t>Τα μέτρα πολιτικής τα οποία προβλέπονται στο πλαίσιο της  πρώτης διάστασης στοχεύουν το σύνολο των ενεργειακά φτωχών νοικοκυριών, με σκοπό την προστασία τους από ακραίες συνθήκες ενεργειακής ένδειας.</w:t>
      </w:r>
    </w:p>
    <w:p w14:paraId="73EAC401" w14:textId="77777777" w:rsidR="002F42C8" w:rsidRPr="00F56D03" w:rsidRDefault="002F42C8" w:rsidP="002F42C8">
      <w:pPr>
        <w:jc w:val="both"/>
      </w:pPr>
      <w:r>
        <w:t xml:space="preserve">Το μεθοδολογικό πλαίσιο </w:t>
      </w:r>
      <w:r w:rsidRPr="003251CC">
        <w:t xml:space="preserve">για την </w:t>
      </w:r>
      <w:r>
        <w:t>αποτίμηση</w:t>
      </w:r>
      <w:r w:rsidRPr="003251CC">
        <w:t xml:space="preserve"> του φαινομένου της ενεργειακής ένδειας</w:t>
      </w:r>
      <w:r>
        <w:t>, το οποίο παρουσιάστηκε στο Κεφάλαιο 2, θα χρησιμοποιηθεί και για τον προσδιορισμό των ακραίων συνθηκών της ενεργειακής ένδειας.</w:t>
      </w:r>
    </w:p>
    <w:p w14:paraId="106E50AE" w14:textId="77777777" w:rsidR="002F42C8" w:rsidRPr="000A5F57" w:rsidRDefault="002F42C8" w:rsidP="002F42C8">
      <w:pPr>
        <w:jc w:val="both"/>
      </w:pPr>
      <w:r>
        <w:rPr>
          <w:noProof/>
        </w:rPr>
        <mc:AlternateContent>
          <mc:Choice Requires="wpi">
            <w:drawing>
              <wp:anchor distT="0" distB="0" distL="114300" distR="114300" simplePos="0" relativeHeight="251686912" behindDoc="0" locked="0" layoutInCell="1" allowOverlap="1" wp14:anchorId="7319CF7E" wp14:editId="4039FC06">
                <wp:simplePos x="0" y="0"/>
                <wp:positionH relativeFrom="column">
                  <wp:posOffset>3730883</wp:posOffset>
                </wp:positionH>
                <wp:positionV relativeFrom="paragraph">
                  <wp:posOffset>1052125</wp:posOffset>
                </wp:positionV>
                <wp:extent cx="360" cy="360"/>
                <wp:effectExtent l="38100" t="38100" r="38100" b="38100"/>
                <wp:wrapNone/>
                <wp:docPr id="1754401118" name="Γραφή 12"/>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type w14:anchorId="7EF258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12" o:spid="_x0000_s1026" type="#_x0000_t75" style="position:absolute;margin-left:293.25pt;margin-top:82.35pt;width:1.05pt;height:1.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">
                <v:imagedata r:id="rId37" o:title=""/>
              </v:shape>
            </w:pict>
          </mc:Fallback>
        </mc:AlternateContent>
      </w:r>
      <w:r w:rsidRPr="0098625D">
        <w:t xml:space="preserve">Ενδεικτικά αναφέρεται ότι ως νοικοκυριά πληττόμενα από ακραίες συνθήκες ενεργειακής ένδειας ορίζονται τα νοικοκυριά στα οποία το ποσοστό των εύλογων δαπανών διαβίωσης προς </w:t>
      </w:r>
      <w:r w:rsidRPr="0098625D">
        <w:lastRenderedPageBreak/>
        <w:t xml:space="preserve">το εισόδημα είναι υψηλότερο από 150%. </w:t>
      </w:r>
      <w:r>
        <w:t>Σύμφωνα με τον ανωτέρω ορισμό</w:t>
      </w:r>
      <w:r w:rsidRPr="009063D7">
        <w:t>,</w:t>
      </w:r>
      <w:r w:rsidRPr="0098625D">
        <w:t xml:space="preserve"> 24,3% του συνόλου των </w:t>
      </w:r>
      <w:r>
        <w:t>ενεργειακά φτωχών</w:t>
      </w:r>
      <w:r w:rsidRPr="0098625D">
        <w:t xml:space="preserve"> νοικοκυριών, δηλαδή 133 χιλιάδες νοικοκυριά για το έτος 2023, δύναται να θεωρηθεί ότι βιώνει ακραίες συνθήκες </w:t>
      </w:r>
      <w:r>
        <w:t>ενεργειακής ένδειας</w:t>
      </w:r>
      <w:r w:rsidRPr="0098625D">
        <w:t>.</w:t>
      </w:r>
    </w:p>
    <w:p w14:paraId="5C5CBF01" w14:textId="56DBE4D7" w:rsidR="00AC1EDC" w:rsidRPr="000A5F57" w:rsidRDefault="000A5F57" w:rsidP="00CD0065">
      <w:pPr>
        <w:jc w:val="both"/>
      </w:pPr>
      <w:r>
        <w:t>Ακολουθεί αναλυτική περιγραφή των προβλεπόμενων μέτρων:</w:t>
      </w:r>
    </w:p>
    <w:p w14:paraId="43FE989F" w14:textId="02101BEF" w:rsidR="00CD0065" w:rsidRPr="000A5F57" w:rsidRDefault="00AB6218" w:rsidP="00CD0065">
      <w:pPr>
        <w:jc w:val="both"/>
        <w:rPr>
          <w:b/>
          <w:bCs/>
        </w:rPr>
      </w:pPr>
      <w:r>
        <w:rPr>
          <w:noProof/>
        </w:rPr>
        <mc:AlternateContent>
          <mc:Choice Requires="wpi">
            <w:drawing>
              <wp:anchor distT="0" distB="0" distL="114300" distR="114300" simplePos="0" relativeHeight="251684864" behindDoc="0" locked="0" layoutInCell="1" allowOverlap="1" wp14:anchorId="2CF55041" wp14:editId="4C9CBB8A">
                <wp:simplePos x="0" y="0"/>
                <wp:positionH relativeFrom="column">
                  <wp:posOffset>1703363</wp:posOffset>
                </wp:positionH>
                <wp:positionV relativeFrom="paragraph">
                  <wp:posOffset>341850</wp:posOffset>
                </wp:positionV>
                <wp:extent cx="360" cy="360"/>
                <wp:effectExtent l="38100" t="38100" r="38100" b="38100"/>
                <wp:wrapNone/>
                <wp:docPr id="835819047" name="Γραφή 13"/>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633B8C8D" id="Γραφή 13" o:spid="_x0000_s1026" type="#_x0000_t75" style="position:absolute;margin-left:133.6pt;margin-top:26.4pt;width:1.05pt;height:1.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">
                <v:imagedata r:id="rId37" o:title=""/>
              </v:shape>
            </w:pict>
          </mc:Fallback>
        </mc:AlternateContent>
      </w:r>
      <w:r w:rsidR="001B3B34">
        <w:rPr>
          <w:b/>
          <w:bCs/>
          <w:lang w:eastAsia="el-GR"/>
        </w:rPr>
        <w:t>Μ</w:t>
      </w:r>
      <w:r w:rsidR="00D13C36" w:rsidRPr="00232E60">
        <w:rPr>
          <w:b/>
          <w:bCs/>
          <w:lang w:eastAsia="el-GR"/>
        </w:rPr>
        <w:t xml:space="preserve">1. Σχήμα </w:t>
      </w:r>
      <w:r w:rsidR="001B3B34">
        <w:rPr>
          <w:b/>
          <w:bCs/>
          <w:lang w:eastAsia="el-GR"/>
        </w:rPr>
        <w:t>κ</w:t>
      </w:r>
      <w:r w:rsidR="00D13C36" w:rsidRPr="00232E60">
        <w:rPr>
          <w:b/>
          <w:bCs/>
          <w:lang w:eastAsia="el-GR"/>
        </w:rPr>
        <w:t xml:space="preserve">οινωνικού </w:t>
      </w:r>
      <w:r w:rsidR="001B3B34">
        <w:rPr>
          <w:b/>
          <w:bCs/>
          <w:lang w:eastAsia="el-GR"/>
        </w:rPr>
        <w:t>τ</w:t>
      </w:r>
      <w:r w:rsidR="00D13C36" w:rsidRPr="00232E60">
        <w:rPr>
          <w:b/>
          <w:bCs/>
          <w:lang w:eastAsia="el-GR"/>
        </w:rPr>
        <w:t>ιμολογίου και μετριασμός επιπτώσεων από την κρίση του κόστους ενέργειας</w:t>
      </w:r>
      <w:r w:rsidR="00941109" w:rsidRPr="00941109">
        <w:rPr>
          <w:b/>
          <w:bCs/>
        </w:rPr>
        <w:t xml:space="preserve"> </w:t>
      </w:r>
      <w:r w:rsidR="000A5F57">
        <w:rPr>
          <w:b/>
          <w:bCs/>
        </w:rPr>
        <w:t>(</w:t>
      </w:r>
      <w:r w:rsidR="00941109">
        <w:rPr>
          <w:b/>
          <w:bCs/>
        </w:rPr>
        <w:t>Οικονομικό μέτρο</w:t>
      </w:r>
      <w:r w:rsidR="000A5F57">
        <w:rPr>
          <w:b/>
          <w:bCs/>
        </w:rPr>
        <w:t>)</w:t>
      </w:r>
    </w:p>
    <w:p w14:paraId="4CE41272" w14:textId="65797280" w:rsidR="002F42C8" w:rsidRPr="00CB7F6D" w:rsidRDefault="002F42C8" w:rsidP="00CB7F6D">
      <w:pPr>
        <w:pStyle w:val="Web"/>
        <w:spacing w:before="120" w:beforeAutospacing="0" w:after="120" w:afterAutospacing="0" w:line="276" w:lineRule="auto"/>
        <w:jc w:val="both"/>
        <w:rPr>
          <w:rFonts w:ascii="Calibri" w:hAnsi="Calibri" w:cs="Calibri"/>
          <w:sz w:val="22"/>
          <w:szCs w:val="22"/>
        </w:rPr>
      </w:pPr>
      <w:r w:rsidRPr="00CB7F6D">
        <w:rPr>
          <w:rFonts w:ascii="Calibri" w:hAnsi="Calibri" w:cs="Calibri"/>
          <w:sz w:val="22"/>
          <w:szCs w:val="22"/>
        </w:rPr>
        <w:t>Σκοπό</w:t>
      </w:r>
      <w:r w:rsidR="00395978" w:rsidRPr="00CB7F6D">
        <w:rPr>
          <w:rFonts w:ascii="Calibri" w:hAnsi="Calibri" w:cs="Calibri"/>
          <w:sz w:val="22"/>
          <w:szCs w:val="22"/>
        </w:rPr>
        <w:t xml:space="preserve"> του μέτρου αποτελεί η παροχή προνομιακού κοινωνικού τιμολογίου προμήθειας ενεργειακών προϊόντων, με σκοπό την προστασία των πληττόμενων νοικοκυριών από ακραίες και έκτακτες συνθήκες ενεργειακής ένδειας.</w:t>
      </w:r>
    </w:p>
    <w:p w14:paraId="23C3ED31" w14:textId="60BAF5C2" w:rsidR="00395978" w:rsidRPr="00CB7F6D" w:rsidRDefault="00395978" w:rsidP="006C5064">
      <w:pPr>
        <w:jc w:val="both"/>
      </w:pPr>
      <w:r w:rsidRPr="00CB7F6D">
        <w:rPr>
          <w:lang w:eastAsia="el-GR"/>
        </w:rPr>
        <w:t xml:space="preserve">Το </w:t>
      </w:r>
      <w:r w:rsidRPr="00CB7F6D">
        <w:t xml:space="preserve">μέτρο  αποσκοπεί στη διατήρηση και βελτίωση του σχήματος του κοινωνικού τιμολογίου για την </w:t>
      </w:r>
      <w:r w:rsidRPr="00247E79">
        <w:t>προμήθεια ηλεκτρικής ενέργειας σε ενεργειακά φτωχά νοικοκυριά με σκοπό (α) να αποφευχθεί η μετάπτωση νοικοκυριών στην</w:t>
      </w:r>
      <w:r w:rsidRPr="00CB7F6D">
        <w:t xml:space="preserve"> κατηγορία των ενεργειακά φτωχών λόγω της δυσμενούς οικονομικής τους θέσης και (β) να μετριαστεί η ένταση της ενεργειακής ένδειας σε πληττόμενα νοικοκυριά μέσω της διευκόλυνσης πρόσβασης σε ένα ελάχιστο επίπεδο απαιτούμενων ενεργειακών υπηρεσιών.</w:t>
      </w:r>
    </w:p>
    <w:p w14:paraId="1AE2A9B5" w14:textId="591FEB76" w:rsidR="00395978" w:rsidRPr="00CB7F6D" w:rsidRDefault="00395978" w:rsidP="006C5064">
      <w:pPr>
        <w:jc w:val="both"/>
        <w:rPr>
          <w:lang w:eastAsia="el-GR"/>
        </w:rPr>
      </w:pPr>
      <w:r w:rsidRPr="00CB7F6D">
        <w:t>Στο πλαίσιο του συγκεκριμένου μέτρου, προβλέπεται η υιοθέτηση προνομιακής τιμής πώλησης ηλεκτρικής ενέργειας για την</w:t>
      </w:r>
      <w:r w:rsidRPr="00CB7F6D">
        <w:rPr>
          <w:lang w:eastAsia="el-GR"/>
        </w:rPr>
        <w:t xml:space="preserve"> περίπτωση των ενεργειακά φτωχών νοικοκυριών. Η προνομιακή τιμολόγηση  αφορά στην ποσότητα ηλεκτρικής ενέργειας για  την κάλυψη των  αναγκών κύριας κατοικίας όλη τη διάρκεια του έτους. Σε κάθε περίπτωση, ο σχεδιασμός του συγκεκριμένου μέτρου προτείνεται σε συμμόρφωση με τις προϋποθέσεις οι οποίες τίθενται στις παρ. 4 και 5 του άρθρου 5 της Οδηγίας 2019/944/ΕΕ</w:t>
      </w:r>
      <w:r w:rsidR="00956E0A">
        <w:rPr>
          <w:rStyle w:val="ab"/>
          <w:lang w:eastAsia="el-GR"/>
        </w:rPr>
        <w:footnoteReference w:id="30"/>
      </w:r>
      <w:r w:rsidRPr="00CB7F6D">
        <w:rPr>
          <w:lang w:eastAsia="el-GR"/>
        </w:rPr>
        <w:t xml:space="preserve"> αναφορικά με τις δημόσιες παρεμβάσεις στον καθορισμό των τιμών για την προμήθεια ηλεκτρικής ενέργειας.</w:t>
      </w:r>
    </w:p>
    <w:p w14:paraId="64205963" w14:textId="77777777" w:rsidR="00395978" w:rsidRPr="00B076E3" w:rsidRDefault="00395978" w:rsidP="00395978">
      <w:pPr>
        <w:spacing w:before="120" w:after="120" w:line="240" w:lineRule="auto"/>
        <w:jc w:val="both"/>
        <w:rPr>
          <w:lang w:eastAsia="el-GR"/>
        </w:rPr>
      </w:pPr>
    </w:p>
    <w:p w14:paraId="0E151123" w14:textId="253D0D5A" w:rsidR="00395978" w:rsidRPr="00B076E3" w:rsidRDefault="00395978" w:rsidP="00395978">
      <w:pPr>
        <w:spacing w:before="120" w:after="120" w:line="240" w:lineRule="auto"/>
        <w:jc w:val="both"/>
        <w:rPr>
          <w:b/>
          <w:bCs/>
          <w:lang w:eastAsia="el-GR"/>
        </w:rPr>
      </w:pPr>
      <w:r>
        <w:rPr>
          <w:b/>
          <w:bCs/>
          <w:lang w:eastAsia="el-GR"/>
        </w:rPr>
        <w:t>Μ</w:t>
      </w:r>
      <w:r w:rsidRPr="00232E60">
        <w:rPr>
          <w:b/>
          <w:bCs/>
          <w:lang w:eastAsia="el-GR"/>
        </w:rPr>
        <w:t>2. Δέσμη κανονιστικών μέτρων για την προστασία των πληττόμενων νοικοκυριών</w:t>
      </w:r>
    </w:p>
    <w:p w14:paraId="7BEDDE8C" w14:textId="6DFCF4A3" w:rsidR="00395978" w:rsidRPr="00654FDE" w:rsidRDefault="00395978" w:rsidP="00CB7F6D">
      <w:pPr>
        <w:pStyle w:val="Web"/>
        <w:spacing w:before="120" w:beforeAutospacing="0" w:after="120" w:afterAutospacing="0" w:line="276" w:lineRule="auto"/>
        <w:jc w:val="both"/>
        <w:rPr>
          <w:rFonts w:ascii="Calibri" w:hAnsi="Calibri" w:cs="Calibri"/>
          <w:sz w:val="22"/>
          <w:szCs w:val="22"/>
        </w:rPr>
      </w:pPr>
      <w:r w:rsidRPr="00CB7F6D">
        <w:rPr>
          <w:rFonts w:ascii="Calibri" w:hAnsi="Calibri" w:cs="Calibri"/>
          <w:sz w:val="22"/>
          <w:szCs w:val="22"/>
        </w:rPr>
        <w:t>Το μέτρο αποσκοπεί  στην π</w:t>
      </w:r>
      <w:r w:rsidRPr="008F20D9">
        <w:rPr>
          <w:rFonts w:ascii="Calibri" w:hAnsi="Calibri" w:cs="Calibri"/>
          <w:sz w:val="22"/>
          <w:szCs w:val="22"/>
        </w:rPr>
        <w:t>ροστασία των πληττόμενων νοικοκυριών μέσω της θέσπισης και εφαρμογής κατάλληλων κανονιστικών μέτρων.</w:t>
      </w:r>
      <w:r w:rsidRPr="00CB7F6D">
        <w:rPr>
          <w:rFonts w:ascii="Calibri" w:hAnsi="Calibri" w:cs="Calibri"/>
          <w:sz w:val="22"/>
          <w:szCs w:val="22"/>
        </w:rPr>
        <w:t xml:space="preserve"> </w:t>
      </w:r>
      <w:r w:rsidRPr="00654FDE">
        <w:rPr>
          <w:rFonts w:ascii="Calibri" w:hAnsi="Calibri" w:cs="Calibri"/>
          <w:sz w:val="22"/>
          <w:szCs w:val="22"/>
        </w:rPr>
        <w:t>Το μέτρο προβλέπει</w:t>
      </w:r>
      <w:r>
        <w:rPr>
          <w:rFonts w:ascii="Calibri" w:hAnsi="Calibri" w:cs="Calibri"/>
          <w:sz w:val="22"/>
          <w:szCs w:val="22"/>
        </w:rPr>
        <w:t>,</w:t>
      </w:r>
      <w:r w:rsidRPr="00654FDE">
        <w:rPr>
          <w:rFonts w:ascii="Calibri" w:hAnsi="Calibri" w:cs="Calibri"/>
          <w:sz w:val="22"/>
          <w:szCs w:val="22"/>
        </w:rPr>
        <w:t xml:space="preserve"> </w:t>
      </w:r>
      <w:r>
        <w:rPr>
          <w:rFonts w:ascii="Calibri" w:hAnsi="Calibri" w:cs="Calibri"/>
          <w:sz w:val="22"/>
          <w:szCs w:val="22"/>
        </w:rPr>
        <w:t xml:space="preserve">τόσο </w:t>
      </w:r>
      <w:r w:rsidRPr="00654FDE">
        <w:rPr>
          <w:rFonts w:ascii="Calibri" w:hAnsi="Calibri" w:cs="Calibri"/>
          <w:sz w:val="22"/>
          <w:szCs w:val="22"/>
        </w:rPr>
        <w:t>τη συνέχιση των στοχευμένων κανονιστικών μέτρων</w:t>
      </w:r>
      <w:r>
        <w:rPr>
          <w:rFonts w:ascii="Calibri" w:hAnsi="Calibri" w:cs="Calibri"/>
          <w:sz w:val="22"/>
          <w:szCs w:val="22"/>
        </w:rPr>
        <w:t xml:space="preserve"> που</w:t>
      </w:r>
      <w:r w:rsidRPr="00654FDE">
        <w:rPr>
          <w:rFonts w:ascii="Calibri" w:hAnsi="Calibri" w:cs="Calibri"/>
          <w:sz w:val="22"/>
          <w:szCs w:val="22"/>
        </w:rPr>
        <w:t xml:space="preserve"> είναι ήδη σε ισχύ, όσο και την ενδεχόμενη ενίσχυσή τους</w:t>
      </w:r>
      <w:r>
        <w:rPr>
          <w:rFonts w:ascii="Calibri" w:hAnsi="Calibri" w:cs="Calibri"/>
          <w:sz w:val="22"/>
          <w:szCs w:val="22"/>
        </w:rPr>
        <w:t>,</w:t>
      </w:r>
      <w:r w:rsidRPr="00654FDE">
        <w:rPr>
          <w:rFonts w:ascii="Calibri" w:hAnsi="Calibri" w:cs="Calibri"/>
          <w:sz w:val="22"/>
          <w:szCs w:val="22"/>
        </w:rPr>
        <w:t xml:space="preserve"> με σκοπό την αποτελεσματικότερη προστασία των </w:t>
      </w:r>
      <w:r>
        <w:rPr>
          <w:rFonts w:ascii="Calibri" w:hAnsi="Calibri" w:cs="Calibri"/>
          <w:sz w:val="22"/>
          <w:szCs w:val="22"/>
        </w:rPr>
        <w:t>ενεργειακά φτωχών</w:t>
      </w:r>
      <w:r w:rsidRPr="00654FDE">
        <w:rPr>
          <w:rFonts w:ascii="Calibri" w:hAnsi="Calibri" w:cs="Calibri"/>
          <w:sz w:val="22"/>
          <w:szCs w:val="22"/>
        </w:rPr>
        <w:t xml:space="preserve"> νοικοκυριών.</w:t>
      </w:r>
    </w:p>
    <w:p w14:paraId="45C2D179" w14:textId="77777777" w:rsidR="00395978" w:rsidRPr="00654FDE" w:rsidRDefault="00395978" w:rsidP="00CB7F6D">
      <w:pPr>
        <w:pStyle w:val="Web"/>
        <w:spacing w:before="120" w:beforeAutospacing="0" w:after="120" w:afterAutospacing="0" w:line="276" w:lineRule="auto"/>
        <w:jc w:val="both"/>
        <w:rPr>
          <w:rFonts w:ascii="Calibri" w:hAnsi="Calibri" w:cs="Calibri"/>
          <w:sz w:val="22"/>
          <w:szCs w:val="22"/>
        </w:rPr>
      </w:pPr>
      <w:r w:rsidRPr="00654FDE">
        <w:rPr>
          <w:rFonts w:ascii="Calibri" w:hAnsi="Calibri" w:cs="Calibri"/>
          <w:sz w:val="22"/>
          <w:szCs w:val="22"/>
        </w:rPr>
        <w:t xml:space="preserve">Τα βασικά κανονιστικά μέτρα </w:t>
      </w:r>
      <w:r>
        <w:rPr>
          <w:rFonts w:ascii="Calibri" w:hAnsi="Calibri" w:cs="Calibri"/>
          <w:sz w:val="22"/>
          <w:szCs w:val="22"/>
        </w:rPr>
        <w:t>είναι</w:t>
      </w:r>
      <w:r w:rsidRPr="00654FDE">
        <w:rPr>
          <w:rFonts w:ascii="Calibri" w:hAnsi="Calibri" w:cs="Calibri"/>
          <w:sz w:val="22"/>
          <w:szCs w:val="22"/>
        </w:rPr>
        <w:t>:</w:t>
      </w:r>
    </w:p>
    <w:p w14:paraId="5DEAFB3A" w14:textId="0A13CDD9" w:rsidR="00395978" w:rsidRPr="00654FDE" w:rsidRDefault="00395978" w:rsidP="00341C51">
      <w:pPr>
        <w:pStyle w:val="Web"/>
        <w:numPr>
          <w:ilvl w:val="0"/>
          <w:numId w:val="64"/>
        </w:numPr>
        <w:spacing w:before="120" w:beforeAutospacing="0" w:after="120" w:afterAutospacing="0" w:line="276" w:lineRule="auto"/>
        <w:jc w:val="both"/>
        <w:rPr>
          <w:rFonts w:ascii="Calibri" w:hAnsi="Calibri" w:cs="Calibri"/>
          <w:sz w:val="22"/>
          <w:szCs w:val="22"/>
        </w:rPr>
      </w:pPr>
      <w:r w:rsidRPr="00654FDE">
        <w:rPr>
          <w:rFonts w:ascii="Calibri" w:hAnsi="Calibri" w:cs="Calibri"/>
          <w:sz w:val="22"/>
          <w:szCs w:val="22"/>
        </w:rPr>
        <w:t xml:space="preserve">i) Διατήρηση της υφιστάμενης πρόβλεψης για την αυτόματη μετάπτωση των ευάλωτων οικιακών πελατών στο καθεστώς της Καθολικής Υπηρεσίας στην περίπτωση καθυστερήσεων στην αποπληρωμή των λογαριασμών ενέργειας, υπό την προϋπόθεση ότι καλύπτουν </w:t>
      </w:r>
      <w:r>
        <w:rPr>
          <w:rFonts w:ascii="Calibri" w:hAnsi="Calibri" w:cs="Calibri"/>
          <w:sz w:val="22"/>
          <w:szCs w:val="22"/>
        </w:rPr>
        <w:t>τις προϋποθέσεις του νόμου</w:t>
      </w:r>
      <w:r w:rsidRPr="00654FDE">
        <w:rPr>
          <w:rFonts w:ascii="Calibri" w:hAnsi="Calibri" w:cs="Calibri"/>
          <w:sz w:val="22"/>
          <w:szCs w:val="22"/>
        </w:rPr>
        <w:t>.</w:t>
      </w:r>
    </w:p>
    <w:p w14:paraId="1AB4CBF8" w14:textId="747C7CF0" w:rsidR="00395978" w:rsidRPr="00654FDE" w:rsidRDefault="00395978" w:rsidP="00341C51">
      <w:pPr>
        <w:pStyle w:val="Web"/>
        <w:numPr>
          <w:ilvl w:val="0"/>
          <w:numId w:val="64"/>
        </w:numPr>
        <w:spacing w:before="120" w:beforeAutospacing="0" w:after="120" w:afterAutospacing="0" w:line="276" w:lineRule="auto"/>
        <w:jc w:val="both"/>
        <w:rPr>
          <w:rFonts w:ascii="Calibri" w:hAnsi="Calibri" w:cs="Calibri"/>
          <w:sz w:val="22"/>
          <w:szCs w:val="22"/>
        </w:rPr>
      </w:pPr>
      <w:r w:rsidRPr="00654FDE">
        <w:rPr>
          <w:rFonts w:ascii="Calibri" w:hAnsi="Calibri" w:cs="Calibri"/>
          <w:sz w:val="22"/>
          <w:szCs w:val="22"/>
        </w:rPr>
        <w:t xml:space="preserve">Καθορισμό ενός ορίου ελάχιστης κατανάλωσης ενεργειακών προϊόντων σε ετήσια βάση κάτω από το οποίο </w:t>
      </w:r>
      <w:r>
        <w:rPr>
          <w:rFonts w:ascii="Calibri" w:hAnsi="Calibri" w:cs="Calibri"/>
          <w:sz w:val="22"/>
          <w:szCs w:val="22"/>
        </w:rPr>
        <w:t xml:space="preserve">να </w:t>
      </w:r>
      <w:r w:rsidRPr="00654FDE">
        <w:rPr>
          <w:rFonts w:ascii="Calibri" w:hAnsi="Calibri" w:cs="Calibri"/>
          <w:sz w:val="22"/>
          <w:szCs w:val="22"/>
        </w:rPr>
        <w:t>απαγορεύεται η αποσύνδεση των πληττόμενων νοικοκυριών.</w:t>
      </w:r>
    </w:p>
    <w:p w14:paraId="465CD30D" w14:textId="640687AE" w:rsidR="00395978" w:rsidRDefault="00395978" w:rsidP="00341C51">
      <w:pPr>
        <w:pStyle w:val="Web"/>
        <w:numPr>
          <w:ilvl w:val="0"/>
          <w:numId w:val="64"/>
        </w:numPr>
        <w:spacing w:before="120" w:beforeAutospacing="0" w:after="120" w:afterAutospacing="0" w:line="276" w:lineRule="auto"/>
        <w:jc w:val="both"/>
        <w:rPr>
          <w:rFonts w:ascii="Calibri" w:hAnsi="Calibri" w:cs="Calibri"/>
          <w:sz w:val="22"/>
          <w:szCs w:val="22"/>
        </w:rPr>
      </w:pPr>
      <w:r w:rsidRPr="00654FDE">
        <w:rPr>
          <w:rFonts w:ascii="Calibri" w:hAnsi="Calibri" w:cs="Calibri"/>
          <w:sz w:val="22"/>
          <w:szCs w:val="22"/>
        </w:rPr>
        <w:t xml:space="preserve">Διευκόλυνση αποπληρωμής και υιοθέτηση ενός πιο ευέλικτου και </w:t>
      </w:r>
      <w:r w:rsidR="006C5064">
        <w:rPr>
          <w:rFonts w:ascii="Calibri" w:hAnsi="Calibri" w:cs="Calibri"/>
          <w:sz w:val="22"/>
          <w:szCs w:val="22"/>
        </w:rPr>
        <w:t>ευνοϊκού</w:t>
      </w:r>
      <w:r w:rsidR="006C5064" w:rsidRPr="00654FDE">
        <w:rPr>
          <w:rFonts w:ascii="Calibri" w:hAnsi="Calibri" w:cs="Calibri"/>
          <w:sz w:val="22"/>
          <w:szCs w:val="22"/>
        </w:rPr>
        <w:t xml:space="preserve"> </w:t>
      </w:r>
      <w:r w:rsidRPr="00654FDE">
        <w:rPr>
          <w:rFonts w:ascii="Calibri" w:hAnsi="Calibri" w:cs="Calibri"/>
          <w:sz w:val="22"/>
          <w:szCs w:val="22"/>
        </w:rPr>
        <w:t xml:space="preserve">πλαισίου διακανονισμού των ληξιπρόθεσμων οφειλών των πληττόμενων νοικοκυριών σε </w:t>
      </w:r>
      <w:r w:rsidRPr="00654FDE">
        <w:rPr>
          <w:rFonts w:ascii="Calibri" w:hAnsi="Calibri" w:cs="Calibri"/>
          <w:sz w:val="22"/>
          <w:szCs w:val="22"/>
        </w:rPr>
        <w:lastRenderedPageBreak/>
        <w:t xml:space="preserve">συγκεκριμένες περιπτώσεις (π.χ. δυνατότητα τμηματικής και άτοκης εξόφλησης βάσει ενός ποσοστού της μηνιαίας δαπάνης). </w:t>
      </w:r>
    </w:p>
    <w:p w14:paraId="0EE746D0" w14:textId="77777777" w:rsidR="006C5064" w:rsidRPr="006C5064" w:rsidRDefault="006C5064" w:rsidP="00CB7F6D">
      <w:pPr>
        <w:pStyle w:val="Web"/>
        <w:spacing w:before="120" w:beforeAutospacing="0" w:after="120" w:afterAutospacing="0" w:line="276" w:lineRule="auto"/>
        <w:jc w:val="both"/>
        <w:rPr>
          <w:rFonts w:ascii="Calibri" w:hAnsi="Calibri" w:cs="Calibri"/>
          <w:sz w:val="22"/>
          <w:szCs w:val="22"/>
        </w:rPr>
      </w:pPr>
    </w:p>
    <w:p w14:paraId="65951044" w14:textId="4BE1005F" w:rsidR="00734889" w:rsidRPr="00734889" w:rsidRDefault="00734889" w:rsidP="00734889">
      <w:pPr>
        <w:pStyle w:val="3"/>
        <w:spacing w:before="120" w:after="120"/>
        <w:rPr>
          <w:rFonts w:asciiTheme="minorHAnsi" w:hAnsiTheme="minorHAnsi" w:cstheme="minorHAnsi"/>
          <w:color w:val="002060"/>
          <w:sz w:val="24"/>
          <w:szCs w:val="24"/>
        </w:rPr>
      </w:pPr>
      <w:bookmarkStart w:id="17" w:name="_Toc214271400"/>
      <w:r w:rsidRPr="00734889">
        <w:rPr>
          <w:rFonts w:asciiTheme="minorHAnsi" w:hAnsiTheme="minorHAnsi" w:cstheme="minorHAnsi"/>
          <w:color w:val="002060"/>
          <w:sz w:val="24"/>
          <w:szCs w:val="24"/>
        </w:rPr>
        <w:t>Διάσταση Ι</w:t>
      </w:r>
      <w:r>
        <w:rPr>
          <w:rFonts w:asciiTheme="minorHAnsi" w:hAnsiTheme="minorHAnsi" w:cstheme="minorHAnsi"/>
          <w:color w:val="002060"/>
          <w:sz w:val="24"/>
          <w:szCs w:val="24"/>
          <w:lang w:val="en-US"/>
        </w:rPr>
        <w:t>I</w:t>
      </w:r>
      <w:r w:rsidRPr="00734889">
        <w:rPr>
          <w:rFonts w:asciiTheme="minorHAnsi" w:hAnsiTheme="minorHAnsi" w:cstheme="minorHAnsi"/>
          <w:color w:val="002060"/>
          <w:sz w:val="24"/>
          <w:szCs w:val="24"/>
        </w:rPr>
        <w:t xml:space="preserve">: </w:t>
      </w:r>
      <w:r w:rsidR="00BB08EA" w:rsidRPr="00BB08EA">
        <w:rPr>
          <w:rFonts w:asciiTheme="minorHAnsi" w:hAnsiTheme="minorHAnsi" w:cstheme="minorHAnsi"/>
          <w:color w:val="002060"/>
          <w:sz w:val="24"/>
          <w:szCs w:val="24"/>
        </w:rPr>
        <w:t>Αναπτυξιακή προοπτική - Δομική αντιμετώπιση της ενεργειακής ένδειας: Δράσεις για τη βελτίωση της ενεργειακής απόδοσης και την αύξηση της χρήσης ΑΠΕ</w:t>
      </w:r>
      <w:bookmarkEnd w:id="17"/>
    </w:p>
    <w:p w14:paraId="0D6BC8D6" w14:textId="7463502C" w:rsidR="00734889" w:rsidRDefault="00734889" w:rsidP="00734889">
      <w:pPr>
        <w:pStyle w:val="Web"/>
        <w:spacing w:before="120" w:beforeAutospacing="0" w:after="120" w:afterAutospacing="0" w:line="276" w:lineRule="auto"/>
        <w:jc w:val="both"/>
        <w:rPr>
          <w:rFonts w:ascii="Calibri" w:hAnsi="Calibri" w:cs="Calibri"/>
          <w:sz w:val="22"/>
          <w:szCs w:val="22"/>
        </w:rPr>
      </w:pPr>
      <w:r w:rsidRPr="00B939C9">
        <w:rPr>
          <w:rFonts w:ascii="Calibri" w:hAnsi="Calibri" w:cs="Calibri"/>
          <w:sz w:val="22"/>
          <w:szCs w:val="22"/>
        </w:rPr>
        <w:t xml:space="preserve">Τα μέτρα πολιτικής, τα οποία προβλέπονται στο πλαίσιο της </w:t>
      </w:r>
      <w:r>
        <w:rPr>
          <w:rFonts w:ascii="Calibri" w:hAnsi="Calibri" w:cs="Calibri"/>
          <w:sz w:val="22"/>
          <w:szCs w:val="22"/>
        </w:rPr>
        <w:t>δεύτερης</w:t>
      </w:r>
      <w:r w:rsidRPr="00B939C9">
        <w:rPr>
          <w:rFonts w:ascii="Calibri" w:hAnsi="Calibri" w:cs="Calibri"/>
          <w:sz w:val="22"/>
          <w:szCs w:val="22"/>
        </w:rPr>
        <w:t xml:space="preserve"> διάστασης στοχεύουν </w:t>
      </w:r>
      <w:r>
        <w:rPr>
          <w:rFonts w:ascii="Calibri" w:hAnsi="Calibri" w:cs="Calibri"/>
          <w:sz w:val="22"/>
          <w:szCs w:val="22"/>
        </w:rPr>
        <w:t>στη μακροπρόθεσμη αντιμετώπιση του φαινομένου της ενεργειακής ένδειας</w:t>
      </w:r>
      <w:r w:rsidRPr="00B939C9">
        <w:rPr>
          <w:rFonts w:ascii="Calibri" w:hAnsi="Calibri" w:cs="Calibri"/>
          <w:sz w:val="22"/>
          <w:szCs w:val="22"/>
        </w:rPr>
        <w:t>.</w:t>
      </w:r>
      <w:r>
        <w:rPr>
          <w:rFonts w:ascii="Calibri" w:hAnsi="Calibri" w:cs="Calibri"/>
          <w:sz w:val="22"/>
          <w:szCs w:val="22"/>
        </w:rPr>
        <w:t xml:space="preserve"> Η επίτευξη του συγκεκριμένου στόχου </w:t>
      </w:r>
      <w:r w:rsidR="00296BF7">
        <w:rPr>
          <w:rFonts w:ascii="Calibri" w:hAnsi="Calibri" w:cs="Calibri"/>
          <w:sz w:val="22"/>
          <w:szCs w:val="22"/>
        </w:rPr>
        <w:t xml:space="preserve">αναμένεται </w:t>
      </w:r>
      <w:r>
        <w:rPr>
          <w:rFonts w:ascii="Calibri" w:hAnsi="Calibri" w:cs="Calibri"/>
          <w:sz w:val="22"/>
          <w:szCs w:val="22"/>
        </w:rPr>
        <w:t xml:space="preserve">να υλοποιηθεί μέσω της συντονισμένης ενεργειακής αναβάθμισης των κτιρίων κατοικίας των πληττόμενων νοικοκυριών </w:t>
      </w:r>
      <w:r w:rsidR="00296BF7">
        <w:rPr>
          <w:rFonts w:ascii="Calibri" w:hAnsi="Calibri" w:cs="Calibri"/>
          <w:sz w:val="22"/>
          <w:szCs w:val="22"/>
        </w:rPr>
        <w:t>για</w:t>
      </w:r>
      <w:r>
        <w:rPr>
          <w:rFonts w:ascii="Calibri" w:hAnsi="Calibri" w:cs="Calibri"/>
          <w:sz w:val="22"/>
          <w:szCs w:val="22"/>
        </w:rPr>
        <w:t xml:space="preserve"> τη βελτίωση της ενεργειακής απόδοσης και τη</w:t>
      </w:r>
      <w:r w:rsidR="00296BF7">
        <w:rPr>
          <w:rFonts w:ascii="Calibri" w:hAnsi="Calibri" w:cs="Calibri"/>
          <w:sz w:val="22"/>
          <w:szCs w:val="22"/>
        </w:rPr>
        <w:t>ν</w:t>
      </w:r>
      <w:r>
        <w:rPr>
          <w:rFonts w:ascii="Calibri" w:hAnsi="Calibri" w:cs="Calibri"/>
          <w:sz w:val="22"/>
          <w:szCs w:val="22"/>
        </w:rPr>
        <w:t xml:space="preserve"> ευρύτερη αξιοποίηση των συστημάτων ΑΠΕ για την παραγωγή και κατανάλωση ενέργειας χαμηλού κόστους.</w:t>
      </w:r>
    </w:p>
    <w:p w14:paraId="76E813DB" w14:textId="77777777" w:rsidR="00AC1EDC" w:rsidRDefault="00AC1EDC" w:rsidP="00734889">
      <w:pPr>
        <w:pStyle w:val="Web"/>
        <w:spacing w:before="120" w:beforeAutospacing="0" w:after="120" w:afterAutospacing="0" w:line="276" w:lineRule="auto"/>
        <w:jc w:val="both"/>
        <w:rPr>
          <w:rFonts w:ascii="Calibri" w:hAnsi="Calibri" w:cs="Calibri"/>
          <w:sz w:val="22"/>
          <w:szCs w:val="22"/>
        </w:rPr>
      </w:pPr>
    </w:p>
    <w:p w14:paraId="518B3C4C" w14:textId="67482035" w:rsidR="00734889" w:rsidRPr="006C5064" w:rsidRDefault="009A4E49" w:rsidP="00CD0065">
      <w:pPr>
        <w:jc w:val="both"/>
        <w:rPr>
          <w:b/>
          <w:bCs/>
          <w:lang w:eastAsia="el-GR"/>
        </w:rPr>
      </w:pPr>
      <w:r>
        <w:rPr>
          <w:b/>
          <w:bCs/>
          <w:lang w:eastAsia="el-GR"/>
        </w:rPr>
        <w:t>Μ</w:t>
      </w:r>
      <w:r w:rsidR="005160BF" w:rsidRPr="00232E60">
        <w:rPr>
          <w:b/>
          <w:bCs/>
          <w:lang w:eastAsia="el-GR"/>
        </w:rPr>
        <w:t xml:space="preserve">3. Ενεργειακή αναβάθμιση κτιρίων κατοικίας των πληττόμενων νοικοκυριών και προώθηση εγκατάστασης </w:t>
      </w:r>
      <w:r w:rsidR="005B4ED9">
        <w:rPr>
          <w:b/>
          <w:bCs/>
          <w:lang w:eastAsia="el-GR"/>
        </w:rPr>
        <w:t>συστημάτων</w:t>
      </w:r>
      <w:r w:rsidR="005B4ED9" w:rsidRPr="00232E60">
        <w:rPr>
          <w:b/>
          <w:bCs/>
          <w:lang w:eastAsia="el-GR"/>
        </w:rPr>
        <w:t xml:space="preserve"> </w:t>
      </w:r>
      <w:r w:rsidR="005160BF" w:rsidRPr="00232E60">
        <w:rPr>
          <w:b/>
          <w:bCs/>
          <w:lang w:eastAsia="el-GR"/>
        </w:rPr>
        <w:t>ΑΠΕ για την κάλυψη των ενεργειακών αναγκών τους</w:t>
      </w:r>
    </w:p>
    <w:p w14:paraId="4882BA84" w14:textId="64C15350" w:rsidR="002F4BA7" w:rsidRPr="006C5064" w:rsidRDefault="002F4BA7" w:rsidP="006C5064">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Το μέτρο στοχεύει στην υλοποίηση παρεμβάσεων εξοικονόμησης ενέργειας και ΑΠΕ σε κτίρια ενεργειακά φτωχών νοικοκυριών μέσω της παροχής οικονομικής ενίσχυσης.</w:t>
      </w:r>
    </w:p>
    <w:p w14:paraId="132B16CE" w14:textId="77777777" w:rsidR="002F4BA7" w:rsidRPr="006C5064" w:rsidRDefault="002F4BA7" w:rsidP="006C5064">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Το μέτρο Μ3 αποσκοπεί στη δομική και μακροπρόθεσμη αντιμετώπιση του φαινομένου της ενεργειακής ένδειας μέσω της παροχής οικονομικής ενίσχυσης για την προώθηση παρεμβάσεων βελτίωσης της ενεργειακής απόδοσης και της εγκατάστασης συστημάτων ΑΠΕ, με σκοπό την κάλυψη των συνολικών ενεργειακών αναγκών των πληττόμενων νοικοκυριών με τον αποδοτικότερο, τεχνικά, περιβαλλοντικά και οικονομικά, τρόπο.</w:t>
      </w:r>
    </w:p>
    <w:p w14:paraId="77169867" w14:textId="77777777" w:rsidR="002F4BA7" w:rsidRPr="006C5064" w:rsidRDefault="002F4BA7" w:rsidP="006C5064">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Το μέγιστο ποσοστό επιδότησης θα καθορίζεται λαμβάνοντας υπόψη την πραγματική δυνατότητα συνεισφοράς ιδίων κεφαλαίων από τα πληττόμενα νοικοκυριά για τη συμμετοχή τους στο συγκεκριμένο μέτρο. Για την περίπτωση των περιοχών σε δίκαιη αναπτυξιακή μετάβαση και  για κτίρια ή /και οικισμούς με ειδικούς όρους θα παρέχεται υψηλότερο ποσοστό επιδότησης. Επισημαίνεται ότι για τα νοικοκυριά που πλήττονται από ακραίες συνθήκες ενεργειακής ένδειας (νοικοκυριά στα οποία το ποσοστό των εύλογων δαπανών διαβίωσης προς το εισόδημα είναι υψηλότερο από 150%) το ποσοστό επιδότησης δύναται να ανέλθει σε 100%.</w:t>
      </w:r>
    </w:p>
    <w:p w14:paraId="407B9807" w14:textId="77777777" w:rsidR="002F4BA7" w:rsidRPr="006C5064" w:rsidRDefault="002F4BA7" w:rsidP="006C5064">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Οι βασικοί πυλώνες του συγκεκριμένου μέτρου περιλαμβάνουν την ενίσχυση, είτε συνδυαστικά, είτε μεμονωμένα, των ακόλουθων παρεμβάσεων εξοικονόμησης ενέργειας και ΑΠΕ:</w:t>
      </w:r>
    </w:p>
    <w:p w14:paraId="608422CD" w14:textId="6A04F76D" w:rsidR="002F4BA7" w:rsidRPr="006C5064" w:rsidRDefault="002F4BA7" w:rsidP="00327A2F">
      <w:pPr>
        <w:pStyle w:val="Web"/>
        <w:numPr>
          <w:ilvl w:val="0"/>
          <w:numId w:val="73"/>
        </w:numPr>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Ενεργειακή αναβάθμιση του κτιριακού κελύφους</w:t>
      </w:r>
    </w:p>
    <w:p w14:paraId="4837FFA5" w14:textId="043E4858" w:rsidR="002F4BA7" w:rsidRPr="006C5064" w:rsidRDefault="002F4BA7" w:rsidP="00327A2F">
      <w:pPr>
        <w:pStyle w:val="Web"/>
        <w:numPr>
          <w:ilvl w:val="0"/>
          <w:numId w:val="73"/>
        </w:numPr>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Εγκατάσταση ενεργειακά αποδοτικών συστημάτων θέρμανσης, ψύξης και παραγωγής ζεστού νερού χρήσης.</w:t>
      </w:r>
    </w:p>
    <w:p w14:paraId="2757295F" w14:textId="794B599C" w:rsidR="002F4BA7" w:rsidRPr="006C5064" w:rsidRDefault="002F4BA7" w:rsidP="00327A2F">
      <w:pPr>
        <w:pStyle w:val="Web"/>
        <w:numPr>
          <w:ilvl w:val="0"/>
          <w:numId w:val="73"/>
        </w:numPr>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Εγκατάσταση ενεργειακά αποδοτικών και έξυπνων συσκευών</w:t>
      </w:r>
    </w:p>
    <w:p w14:paraId="55DADF7A" w14:textId="603E56E2" w:rsidR="002F4BA7" w:rsidRPr="006C5064" w:rsidRDefault="002F4BA7" w:rsidP="00327A2F">
      <w:pPr>
        <w:pStyle w:val="Web"/>
        <w:numPr>
          <w:ilvl w:val="0"/>
          <w:numId w:val="73"/>
        </w:numPr>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 xml:space="preserve">Εγκατάσταση συστημάτων ΑΠΕ για αυτοκατανάλωση ηλεκτρικής ενέργειας, σύμφωνα με τις προβλέψεις του άρθρου 21 της Οδηγίας (ΕΕ) 2018/2001 για αυτοκαταναλωτές </w:t>
      </w:r>
      <w:r w:rsidRPr="006C5064">
        <w:rPr>
          <w:rFonts w:ascii="Calibri" w:hAnsi="Calibri" w:cs="Calibri"/>
          <w:sz w:val="22"/>
          <w:szCs w:val="22"/>
        </w:rPr>
        <w:lastRenderedPageBreak/>
        <w:t>ενέργειας από ανανεώσιμες πηγές και του άρθρου 15 της Οδηγίας (ΕΕ) 2019/944 για ενεργούς πελάτες</w:t>
      </w:r>
      <w:r w:rsidR="00956E0A">
        <w:rPr>
          <w:rStyle w:val="ab"/>
          <w:rFonts w:ascii="Calibri" w:hAnsi="Calibri"/>
          <w:sz w:val="22"/>
          <w:szCs w:val="22"/>
        </w:rPr>
        <w:footnoteReference w:id="31"/>
      </w:r>
      <w:r w:rsidRPr="006C5064">
        <w:rPr>
          <w:rFonts w:ascii="Calibri" w:hAnsi="Calibri" w:cs="Calibri"/>
          <w:sz w:val="22"/>
          <w:szCs w:val="22"/>
        </w:rPr>
        <w:t>.</w:t>
      </w:r>
    </w:p>
    <w:p w14:paraId="48BC2D7A" w14:textId="77777777" w:rsidR="002F4BA7" w:rsidRPr="006C5064" w:rsidRDefault="002F4BA7" w:rsidP="006C5064">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Επιπρόσθετα, θα διευκολυνθεί η συμμετοχή των πληττόμενων νοικοκυριών σε σχήματα Απόκρισης και Διαχείρισης της ζήτησης, καθώς και η εγκατάσταση συστημάτων αποθήκευσης, με στόχο τη μεγιστοποίηση της αυτοκατανάλωσης μέσω ταυτοχρονισμού της παραγόμενης ηλεκτρικής ενέργειας από ΑΠΕ.</w:t>
      </w:r>
    </w:p>
    <w:p w14:paraId="78470351" w14:textId="52E9D751" w:rsidR="002F4BA7" w:rsidRPr="006C5064" w:rsidRDefault="002F4BA7" w:rsidP="006C5064">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t>Επισημαίνεται ότι θα προτεραιοποιηθεί η ανακαίνιση των κτιρίων κατοικίας με τη χαμηλότερη ενεργειακή απόδοση (worst performing buildings), συνδυάζοντας υλοποίηση παρεμβάσεων στο κτιριακό κέλυφος και την εγκατάσταση ενεργειακά αποδοτικών συστημάτων θέρμανσης, ψύξης και παραγωγής ζεστού νερού χρήσης.</w:t>
      </w:r>
      <w:r w:rsidR="006C5064">
        <w:rPr>
          <w:rFonts w:ascii="Calibri" w:hAnsi="Calibri" w:cs="Calibri"/>
          <w:sz w:val="22"/>
          <w:szCs w:val="22"/>
        </w:rPr>
        <w:t xml:space="preserve"> </w:t>
      </w:r>
      <w:r w:rsidRPr="006C5064">
        <w:rPr>
          <w:rFonts w:ascii="Calibri" w:hAnsi="Calibri" w:cs="Calibri"/>
          <w:sz w:val="22"/>
          <w:szCs w:val="22"/>
        </w:rPr>
        <w:t>Τέλος,  θα διευκολυνθεί η ενεργειακή αναβάθμιση των κατοικιών που μισθώνονται από ενεργειακά ευάλωτα νοικοκυριά, προκειμένου να αποτραπεί η ασύμμετρη αύξηση των ενοικίων και η πρόκληση εξώσεων ως συνέπεια της μετακύλισης του κόστους των παρεμβάσεων στους ενοικιαστές.</w:t>
      </w:r>
    </w:p>
    <w:p w14:paraId="6DFD1BE4" w14:textId="77777777" w:rsidR="005944AD" w:rsidRPr="009278FE" w:rsidRDefault="005944AD" w:rsidP="00145415">
      <w:pPr>
        <w:pStyle w:val="Web"/>
        <w:spacing w:before="120" w:beforeAutospacing="0" w:after="120" w:afterAutospacing="0" w:line="276" w:lineRule="auto"/>
        <w:jc w:val="both"/>
        <w:rPr>
          <w:rFonts w:ascii="Calibri" w:hAnsi="Calibri" w:cs="Calibri"/>
          <w:sz w:val="22"/>
          <w:szCs w:val="22"/>
        </w:rPr>
      </w:pPr>
    </w:p>
    <w:p w14:paraId="5E2495B6" w14:textId="45DF4926" w:rsidR="004E45E1" w:rsidRPr="00EB2FC5" w:rsidRDefault="00054FD0" w:rsidP="00145415">
      <w:pPr>
        <w:pStyle w:val="Web"/>
        <w:spacing w:before="120" w:beforeAutospacing="0" w:after="120" w:afterAutospacing="0" w:line="276" w:lineRule="auto"/>
        <w:jc w:val="both"/>
        <w:rPr>
          <w:rFonts w:ascii="Calibri" w:hAnsi="Calibri" w:cs="Calibri"/>
          <w:b/>
          <w:bCs/>
          <w:sz w:val="22"/>
          <w:szCs w:val="22"/>
        </w:rPr>
      </w:pPr>
      <w:r w:rsidRPr="00054FD0">
        <w:rPr>
          <w:rFonts w:ascii="Calibri" w:hAnsi="Calibri" w:cs="Calibri"/>
          <w:b/>
          <w:bCs/>
          <w:sz w:val="22"/>
          <w:szCs w:val="22"/>
        </w:rPr>
        <w:t>Μ</w:t>
      </w:r>
      <w:r w:rsidR="00CC4889">
        <w:rPr>
          <w:rFonts w:ascii="Calibri" w:hAnsi="Calibri" w:cs="Calibri"/>
          <w:b/>
          <w:bCs/>
          <w:sz w:val="22"/>
          <w:szCs w:val="22"/>
        </w:rPr>
        <w:t>4</w:t>
      </w:r>
      <w:r w:rsidR="004E45E1" w:rsidRPr="00054FD0">
        <w:rPr>
          <w:rFonts w:ascii="Calibri" w:hAnsi="Calibri" w:cs="Calibri"/>
          <w:b/>
          <w:bCs/>
          <w:sz w:val="22"/>
          <w:szCs w:val="22"/>
        </w:rPr>
        <w:t>. Αξιοποίηση του θεσμού Κοινοτήτων Ανανεώσιμης Ενέργειας και Κοινοτήτων Πολιτών για την αντιμετώπιση της ενεργειακής ένδειας</w:t>
      </w:r>
      <w:r w:rsidR="00402DA4" w:rsidRPr="006C5064">
        <w:rPr>
          <w:rFonts w:ascii="Calibri" w:hAnsi="Calibri" w:cs="Calibri"/>
          <w:b/>
          <w:bCs/>
          <w:sz w:val="22"/>
          <w:szCs w:val="22"/>
        </w:rPr>
        <w:t xml:space="preserve"> </w:t>
      </w:r>
    </w:p>
    <w:p w14:paraId="26B5A7A5" w14:textId="4748D465" w:rsidR="00402DA4" w:rsidRPr="00F71462" w:rsidRDefault="00402DA4" w:rsidP="00145415">
      <w:pPr>
        <w:pStyle w:val="Web"/>
        <w:spacing w:before="120" w:beforeAutospacing="0" w:after="120" w:afterAutospacing="0" w:line="276" w:lineRule="auto"/>
        <w:jc w:val="both"/>
        <w:rPr>
          <w:rFonts w:ascii="Calibri" w:hAnsi="Calibri" w:cs="Calibri"/>
          <w:sz w:val="22"/>
          <w:szCs w:val="22"/>
        </w:rPr>
      </w:pPr>
      <w:r w:rsidRPr="00402DA4">
        <w:rPr>
          <w:rFonts w:ascii="Calibri" w:hAnsi="Calibri" w:cs="Calibri"/>
          <w:sz w:val="22"/>
          <w:szCs w:val="22"/>
        </w:rPr>
        <w:t>Σ</w:t>
      </w:r>
      <w:r w:rsidRPr="006C5064">
        <w:rPr>
          <w:rFonts w:ascii="Calibri" w:hAnsi="Calibri" w:cs="Calibri"/>
          <w:sz w:val="22"/>
          <w:szCs w:val="22"/>
        </w:rPr>
        <w:t xml:space="preserve">τόχος του μέτρου είναι η επικαιροποίηση </w:t>
      </w:r>
      <w:r w:rsidRPr="008F20D9">
        <w:rPr>
          <w:rFonts w:ascii="Calibri" w:hAnsi="Calibri" w:cs="Calibri"/>
          <w:sz w:val="22"/>
          <w:szCs w:val="22"/>
        </w:rPr>
        <w:t>του θεσμικού πλαισίου και</w:t>
      </w:r>
      <w:r w:rsidR="006C5064">
        <w:rPr>
          <w:rFonts w:ascii="Calibri" w:hAnsi="Calibri" w:cs="Calibri"/>
          <w:sz w:val="22"/>
          <w:szCs w:val="22"/>
        </w:rPr>
        <w:t xml:space="preserve"> η</w:t>
      </w:r>
      <w:r w:rsidRPr="008F20D9">
        <w:rPr>
          <w:rFonts w:ascii="Calibri" w:hAnsi="Calibri" w:cs="Calibri"/>
          <w:sz w:val="22"/>
          <w:szCs w:val="22"/>
        </w:rPr>
        <w:t xml:space="preserve"> παροχή κινήτρων για την αντιμετώπιση της ενεργειακής ένδειας μέσω του μηχανισμού των </w:t>
      </w:r>
      <w:r w:rsidR="00A93D71">
        <w:rPr>
          <w:rFonts w:ascii="Calibri" w:hAnsi="Calibri" w:cs="Calibri"/>
          <w:sz w:val="22"/>
          <w:szCs w:val="22"/>
        </w:rPr>
        <w:t>Κ</w:t>
      </w:r>
      <w:r w:rsidRPr="008F20D9">
        <w:rPr>
          <w:rFonts w:ascii="Calibri" w:hAnsi="Calibri" w:cs="Calibri"/>
          <w:sz w:val="22"/>
          <w:szCs w:val="22"/>
        </w:rPr>
        <w:t>οινοτήτων</w:t>
      </w:r>
      <w:r w:rsidR="00F71462" w:rsidRPr="00F71462">
        <w:rPr>
          <w:rFonts w:ascii="Calibri" w:eastAsia="Calibri" w:hAnsi="Calibri" w:cs="Calibri"/>
          <w:b/>
          <w:bCs/>
          <w:sz w:val="22"/>
          <w:szCs w:val="22"/>
          <w:lang w:eastAsia="en-US"/>
        </w:rPr>
        <w:t xml:space="preserve"> </w:t>
      </w:r>
      <w:r w:rsidR="00F71462" w:rsidRPr="00F71462">
        <w:rPr>
          <w:rFonts w:ascii="Calibri" w:hAnsi="Calibri" w:cs="Calibri"/>
          <w:sz w:val="22"/>
          <w:szCs w:val="22"/>
        </w:rPr>
        <w:t>Ανανεώσιμης Ενέργειας και Κοινοτήτων Πολιτών (</w:t>
      </w:r>
      <w:r w:rsidR="00F71462">
        <w:rPr>
          <w:rFonts w:ascii="Calibri" w:hAnsi="Calibri" w:cs="Calibri"/>
          <w:sz w:val="22"/>
          <w:szCs w:val="22"/>
        </w:rPr>
        <w:t>εφεξής Κοινοτήτων</w:t>
      </w:r>
      <w:r w:rsidR="00F71462" w:rsidRPr="00F71462">
        <w:rPr>
          <w:rFonts w:ascii="Calibri" w:hAnsi="Calibri" w:cs="Calibri"/>
          <w:sz w:val="22"/>
          <w:szCs w:val="22"/>
        </w:rPr>
        <w:t>)</w:t>
      </w:r>
      <w:r w:rsidRPr="00F71462">
        <w:rPr>
          <w:rFonts w:ascii="Calibri" w:hAnsi="Calibri" w:cs="Calibri"/>
          <w:sz w:val="22"/>
          <w:szCs w:val="22"/>
        </w:rPr>
        <w:t>.</w:t>
      </w:r>
    </w:p>
    <w:p w14:paraId="1DAF621B" w14:textId="0BDD6AC1" w:rsidR="004D20C9" w:rsidRDefault="00AC7E56" w:rsidP="00724EC4">
      <w:pPr>
        <w:pStyle w:val="Web"/>
        <w:spacing w:before="120" w:beforeAutospacing="0" w:after="120" w:afterAutospacing="0" w:line="276" w:lineRule="auto"/>
        <w:jc w:val="both"/>
        <w:rPr>
          <w:rFonts w:ascii="Calibri" w:hAnsi="Calibri" w:cs="Calibri"/>
          <w:sz w:val="22"/>
          <w:szCs w:val="22"/>
        </w:rPr>
      </w:pPr>
      <w:r w:rsidRPr="00AC7E56">
        <w:rPr>
          <w:rFonts w:ascii="Calibri" w:hAnsi="Calibri" w:cs="Calibri"/>
          <w:sz w:val="22"/>
          <w:szCs w:val="22"/>
        </w:rPr>
        <w:t>Σκοπός του μέτρου  είναι</w:t>
      </w:r>
      <w:r>
        <w:rPr>
          <w:rFonts w:ascii="Calibri" w:hAnsi="Calibri" w:cs="Calibri"/>
          <w:sz w:val="22"/>
          <w:szCs w:val="22"/>
        </w:rPr>
        <w:t xml:space="preserve"> </w:t>
      </w:r>
      <w:r w:rsidRPr="00AC7E56">
        <w:rPr>
          <w:rFonts w:ascii="Calibri" w:hAnsi="Calibri" w:cs="Calibri"/>
          <w:sz w:val="22"/>
          <w:szCs w:val="22"/>
        </w:rPr>
        <w:t xml:space="preserve">η παραγόμενη ενέργεια (ηλεκτρική, θερμική και ψυκτική) από ΑΠΕ </w:t>
      </w:r>
      <w:r w:rsidR="00EF2A71">
        <w:rPr>
          <w:rFonts w:ascii="Calibri" w:hAnsi="Calibri" w:cs="Calibri"/>
          <w:sz w:val="22"/>
          <w:szCs w:val="22"/>
        </w:rPr>
        <w:t xml:space="preserve">να </w:t>
      </w:r>
      <w:r w:rsidRPr="00AC7E56">
        <w:rPr>
          <w:rFonts w:ascii="Calibri" w:hAnsi="Calibri" w:cs="Calibri"/>
          <w:sz w:val="22"/>
          <w:szCs w:val="22"/>
        </w:rPr>
        <w:t>αξιοποιείται κατά προτεραιότητα για την κάλυψη των ενεργειακών αναγκών ενεργειακά φτωχών νοικοκυριών. Προς αυτή την κατεύθυνση</w:t>
      </w:r>
      <w:r w:rsidR="00EF2A71">
        <w:rPr>
          <w:rFonts w:ascii="Calibri" w:hAnsi="Calibri" w:cs="Calibri"/>
          <w:sz w:val="22"/>
          <w:szCs w:val="22"/>
        </w:rPr>
        <w:t>,</w:t>
      </w:r>
      <w:r w:rsidRPr="00AC7E56">
        <w:rPr>
          <w:rFonts w:ascii="Calibri" w:hAnsi="Calibri" w:cs="Calibri"/>
          <w:sz w:val="22"/>
          <w:szCs w:val="22"/>
        </w:rPr>
        <w:t xml:space="preserve"> δρομολογείται η ενίσχυση των ΟΤΑ Α' βαθμού</w:t>
      </w:r>
      <w:r w:rsidR="004D20C9" w:rsidRPr="004D20C9">
        <w:rPr>
          <w:rFonts w:ascii="Calibri" w:hAnsi="Calibri" w:cs="Calibri"/>
          <w:sz w:val="22"/>
          <w:szCs w:val="22"/>
        </w:rPr>
        <w:t xml:space="preserve"> είτε μέσω της συμμετοχής τους ως μέλη σε υφιστάμενες </w:t>
      </w:r>
      <w:r w:rsidR="004D20C9">
        <w:rPr>
          <w:rFonts w:ascii="Calibri" w:hAnsi="Calibri" w:cs="Calibri"/>
          <w:sz w:val="22"/>
          <w:szCs w:val="22"/>
        </w:rPr>
        <w:t xml:space="preserve">(όπως για παράδειγμα </w:t>
      </w:r>
      <w:r w:rsidR="00EF2A71">
        <w:rPr>
          <w:rFonts w:ascii="Calibri" w:hAnsi="Calibri" w:cs="Calibri"/>
          <w:sz w:val="22"/>
          <w:szCs w:val="22"/>
        </w:rPr>
        <w:t xml:space="preserve">στο πλαίσιο του προγράμματος </w:t>
      </w:r>
      <w:r w:rsidR="004D20C9">
        <w:rPr>
          <w:rFonts w:ascii="Calibri" w:hAnsi="Calibri" w:cs="Calibri"/>
          <w:sz w:val="22"/>
          <w:szCs w:val="22"/>
        </w:rPr>
        <w:t xml:space="preserve">«Απόλλων») </w:t>
      </w:r>
      <w:r w:rsidR="004D20C9" w:rsidRPr="004D20C9">
        <w:rPr>
          <w:rFonts w:ascii="Calibri" w:hAnsi="Calibri" w:cs="Calibri"/>
          <w:sz w:val="22"/>
          <w:szCs w:val="22"/>
        </w:rPr>
        <w:t>ή νέες πρωτοβουλίες Κοινοτήτων</w:t>
      </w:r>
      <w:r w:rsidR="00EF2A71">
        <w:rPr>
          <w:rFonts w:ascii="Calibri" w:hAnsi="Calibri" w:cs="Calibri"/>
          <w:sz w:val="22"/>
          <w:szCs w:val="22"/>
        </w:rPr>
        <w:t>. Συγχρόνως,</w:t>
      </w:r>
      <w:r w:rsidR="004D20C9" w:rsidRPr="004D20C9">
        <w:rPr>
          <w:rFonts w:ascii="Calibri" w:hAnsi="Calibri" w:cs="Calibri"/>
          <w:sz w:val="22"/>
          <w:szCs w:val="22"/>
        </w:rPr>
        <w:t xml:space="preserve"> </w:t>
      </w:r>
      <w:r w:rsidR="0014043C">
        <w:rPr>
          <w:rFonts w:ascii="Calibri" w:hAnsi="Calibri" w:cs="Calibri"/>
          <w:sz w:val="22"/>
          <w:szCs w:val="22"/>
        </w:rPr>
        <w:t>θα υποστηριχθούν</w:t>
      </w:r>
      <w:r w:rsidR="0014043C" w:rsidRPr="004D20C9">
        <w:rPr>
          <w:rFonts w:ascii="Calibri" w:hAnsi="Calibri" w:cs="Calibri"/>
          <w:sz w:val="22"/>
          <w:szCs w:val="22"/>
        </w:rPr>
        <w:t xml:space="preserve"> </w:t>
      </w:r>
      <w:r w:rsidR="004D20C9" w:rsidRPr="004D20C9">
        <w:rPr>
          <w:rFonts w:ascii="Calibri" w:hAnsi="Calibri" w:cs="Calibri"/>
          <w:sz w:val="22"/>
          <w:szCs w:val="22"/>
        </w:rPr>
        <w:t xml:space="preserve">πρωτοβουλίες χωρίς άμεση συμμετοχή </w:t>
      </w:r>
      <w:r w:rsidR="00724EC4">
        <w:rPr>
          <w:rFonts w:ascii="Calibri" w:hAnsi="Calibri" w:cs="Calibri"/>
          <w:sz w:val="22"/>
          <w:szCs w:val="22"/>
        </w:rPr>
        <w:t xml:space="preserve">σε Κοινότητες </w:t>
      </w:r>
      <w:r w:rsidR="004D20C9" w:rsidRPr="004D20C9">
        <w:rPr>
          <w:rFonts w:ascii="Calibri" w:hAnsi="Calibri" w:cs="Calibri"/>
          <w:sz w:val="22"/>
          <w:szCs w:val="22"/>
        </w:rPr>
        <w:t>μέσω, ενδεικτικά, της προσφοράς γης/στεγών/εγκαταστάσεων</w:t>
      </w:r>
      <w:r w:rsidR="00724EC4">
        <w:rPr>
          <w:rFonts w:ascii="Calibri" w:hAnsi="Calibri" w:cs="Calibri"/>
          <w:sz w:val="22"/>
          <w:szCs w:val="22"/>
        </w:rPr>
        <w:t xml:space="preserve"> και </w:t>
      </w:r>
      <w:r w:rsidR="004D20C9" w:rsidRPr="004D20C9">
        <w:rPr>
          <w:rFonts w:ascii="Calibri" w:hAnsi="Calibri" w:cs="Calibri"/>
          <w:sz w:val="22"/>
          <w:szCs w:val="22"/>
        </w:rPr>
        <w:t>την παροχή τεχνογνωσίας</w:t>
      </w:r>
      <w:r w:rsidR="00724EC4">
        <w:rPr>
          <w:rFonts w:ascii="Calibri" w:hAnsi="Calibri" w:cs="Calibri"/>
          <w:sz w:val="22"/>
          <w:szCs w:val="22"/>
        </w:rPr>
        <w:t>.</w:t>
      </w:r>
      <w:r w:rsidR="004D20C9">
        <w:rPr>
          <w:rFonts w:ascii="Calibri" w:hAnsi="Calibri" w:cs="Calibri"/>
          <w:sz w:val="22"/>
          <w:szCs w:val="22"/>
        </w:rPr>
        <w:t xml:space="preserve"> </w:t>
      </w:r>
    </w:p>
    <w:p w14:paraId="0BD4438B" w14:textId="601B3E26" w:rsidR="00AC7E56" w:rsidRPr="00AC7E56" w:rsidRDefault="00AC7E56" w:rsidP="00724EC4">
      <w:pPr>
        <w:pStyle w:val="Web"/>
        <w:spacing w:before="120" w:beforeAutospacing="0" w:after="120" w:afterAutospacing="0" w:line="276" w:lineRule="auto"/>
        <w:jc w:val="both"/>
        <w:rPr>
          <w:rFonts w:ascii="Calibri" w:hAnsi="Calibri" w:cs="Calibri"/>
          <w:sz w:val="22"/>
          <w:szCs w:val="22"/>
        </w:rPr>
      </w:pPr>
      <w:r w:rsidRPr="00AC7E56">
        <w:rPr>
          <w:rFonts w:ascii="Calibri" w:hAnsi="Calibri" w:cs="Calibri"/>
          <w:sz w:val="22"/>
          <w:szCs w:val="22"/>
        </w:rPr>
        <w:t>Επισημαίνεται, ότι οι δράσεις στο πλαίσιο του συγκεκριμένου μέτρου δύνανται να συνδυαστούν και με δράσεις βελτίωσης της ενεργειακής απόδοσης, ώστε να συμβά</w:t>
      </w:r>
      <w:r w:rsidR="004D20C9">
        <w:rPr>
          <w:rFonts w:ascii="Calibri" w:hAnsi="Calibri" w:cs="Calibri"/>
          <w:sz w:val="22"/>
          <w:szCs w:val="22"/>
        </w:rPr>
        <w:t>λουν</w:t>
      </w:r>
      <w:r w:rsidRPr="00AC7E56">
        <w:rPr>
          <w:rFonts w:ascii="Calibri" w:hAnsi="Calibri" w:cs="Calibri"/>
          <w:sz w:val="22"/>
          <w:szCs w:val="22"/>
        </w:rPr>
        <w:t xml:space="preserve"> στη για τη ριζικότερη αντιμετώπιση του φαινομένου της ενεργειακής ένδειας. Σε αυτή την περίπτωση, θα εξεταστεί η παροχή οικονομικής ενίσχυσης</w:t>
      </w:r>
      <w:r w:rsidR="004D20C9">
        <w:rPr>
          <w:rFonts w:ascii="Calibri" w:hAnsi="Calibri" w:cs="Calibri"/>
          <w:sz w:val="22"/>
          <w:szCs w:val="22"/>
        </w:rPr>
        <w:t xml:space="preserve"> </w:t>
      </w:r>
      <w:r w:rsidRPr="00AC7E56">
        <w:rPr>
          <w:rFonts w:ascii="Calibri" w:hAnsi="Calibri" w:cs="Calibri"/>
          <w:sz w:val="22"/>
          <w:szCs w:val="22"/>
        </w:rPr>
        <w:t>δημόσια χρηματοδότηση τμήματος μέρους της απαιτούμενης επένδυσης, η οποία πρέπει να καταβληθεί από τα πληττόμενα νοικοκυριά λόγω για της συμμετοχής τους των ενεργειακά φτωχών νοικοκυριών στους συγκεκριμένους τύπους κοινοτήτων.</w:t>
      </w:r>
    </w:p>
    <w:p w14:paraId="55F49305" w14:textId="6F30E2C0" w:rsidR="00402DA4" w:rsidRDefault="00AC7E56" w:rsidP="00AC7E56">
      <w:pPr>
        <w:pStyle w:val="Web"/>
        <w:spacing w:before="120" w:beforeAutospacing="0" w:after="120" w:afterAutospacing="0" w:line="276" w:lineRule="auto"/>
        <w:jc w:val="both"/>
        <w:rPr>
          <w:rFonts w:ascii="Calibri" w:hAnsi="Calibri" w:cs="Calibri"/>
          <w:sz w:val="22"/>
          <w:szCs w:val="22"/>
        </w:rPr>
      </w:pPr>
      <w:r w:rsidRPr="00AC7E56">
        <w:rPr>
          <w:rFonts w:ascii="Calibri" w:hAnsi="Calibri" w:cs="Calibri"/>
          <w:sz w:val="22"/>
          <w:szCs w:val="22"/>
        </w:rPr>
        <w:t xml:space="preserve">Τέλος, ο θεσμός των </w:t>
      </w:r>
      <w:r w:rsidR="00F6398E">
        <w:rPr>
          <w:rFonts w:ascii="Calibri" w:hAnsi="Calibri" w:cs="Calibri"/>
          <w:sz w:val="22"/>
          <w:szCs w:val="22"/>
        </w:rPr>
        <w:t>Κ</w:t>
      </w:r>
      <w:r w:rsidRPr="00AC7E56">
        <w:rPr>
          <w:rFonts w:ascii="Calibri" w:hAnsi="Calibri" w:cs="Calibri"/>
          <w:sz w:val="22"/>
          <w:szCs w:val="22"/>
        </w:rPr>
        <w:t>οινοτήτων δύναται να αξιοποιηθεί για τον αποτελεσματικότερο σχεδιασμό και υλοποίηση στοχευμένων και καινοτόμων δράσεων ενημέρωσης και εκπαίδευσης σε τοπικό επίπεδο</w:t>
      </w:r>
      <w:r w:rsidR="004D20C9">
        <w:rPr>
          <w:rFonts w:ascii="Calibri" w:hAnsi="Calibri" w:cs="Calibri"/>
          <w:sz w:val="22"/>
          <w:szCs w:val="22"/>
        </w:rPr>
        <w:t>.</w:t>
      </w:r>
    </w:p>
    <w:p w14:paraId="4C3DBB75" w14:textId="77777777" w:rsidR="009659DF" w:rsidRPr="00402DA4" w:rsidRDefault="009659DF" w:rsidP="00AC7E56">
      <w:pPr>
        <w:pStyle w:val="Web"/>
        <w:spacing w:before="120" w:beforeAutospacing="0" w:after="120" w:afterAutospacing="0" w:line="276" w:lineRule="auto"/>
        <w:jc w:val="both"/>
        <w:rPr>
          <w:rFonts w:ascii="Calibri" w:hAnsi="Calibri" w:cs="Calibri"/>
          <w:b/>
          <w:bCs/>
          <w:sz w:val="22"/>
          <w:szCs w:val="22"/>
        </w:rPr>
      </w:pPr>
    </w:p>
    <w:p w14:paraId="136748D8" w14:textId="10FEB4DD" w:rsidR="00BB08EA" w:rsidRPr="006C5064" w:rsidRDefault="00BB08EA" w:rsidP="00BB08EA">
      <w:pPr>
        <w:pStyle w:val="Web"/>
        <w:spacing w:before="120" w:beforeAutospacing="0" w:after="120" w:afterAutospacing="0" w:line="276" w:lineRule="auto"/>
        <w:jc w:val="both"/>
        <w:rPr>
          <w:rFonts w:ascii="Calibri" w:hAnsi="Calibri" w:cs="Calibri"/>
          <w:b/>
          <w:bCs/>
          <w:sz w:val="22"/>
          <w:szCs w:val="22"/>
        </w:rPr>
      </w:pPr>
      <w:r w:rsidRPr="00B70F73">
        <w:rPr>
          <w:rFonts w:ascii="Calibri" w:hAnsi="Calibri" w:cs="Calibri"/>
          <w:b/>
          <w:bCs/>
          <w:sz w:val="22"/>
          <w:szCs w:val="22"/>
        </w:rPr>
        <w:t>Μ</w:t>
      </w:r>
      <w:r w:rsidR="00DE0281">
        <w:rPr>
          <w:rFonts w:ascii="Calibri" w:hAnsi="Calibri" w:cs="Calibri"/>
          <w:b/>
          <w:bCs/>
          <w:sz w:val="22"/>
          <w:szCs w:val="22"/>
        </w:rPr>
        <w:t>5</w:t>
      </w:r>
      <w:r w:rsidRPr="00B70F73">
        <w:rPr>
          <w:rFonts w:ascii="Calibri" w:hAnsi="Calibri" w:cs="Calibri"/>
          <w:b/>
          <w:bCs/>
          <w:sz w:val="22"/>
          <w:szCs w:val="22"/>
        </w:rPr>
        <w:t xml:space="preserve">. Καινοτόμα χρηματοδοτικά εργαλεία για την υλοποίηση δράσεων βελτίωσης της ενεργειακής απόδοσης σε </w:t>
      </w:r>
      <w:r w:rsidR="00E817B7">
        <w:rPr>
          <w:rFonts w:ascii="Calibri" w:hAnsi="Calibri" w:cs="Calibri"/>
          <w:b/>
          <w:bCs/>
          <w:sz w:val="22"/>
          <w:szCs w:val="22"/>
        </w:rPr>
        <w:t>ενεργειακά φτωχά</w:t>
      </w:r>
      <w:r w:rsidR="00E817B7" w:rsidRPr="00B70F73">
        <w:rPr>
          <w:rFonts w:ascii="Calibri" w:hAnsi="Calibri" w:cs="Calibri"/>
          <w:b/>
          <w:bCs/>
          <w:sz w:val="22"/>
          <w:szCs w:val="22"/>
        </w:rPr>
        <w:t xml:space="preserve"> </w:t>
      </w:r>
      <w:r w:rsidRPr="00B70F73">
        <w:rPr>
          <w:rFonts w:ascii="Calibri" w:hAnsi="Calibri" w:cs="Calibri"/>
          <w:b/>
          <w:bCs/>
          <w:sz w:val="22"/>
          <w:szCs w:val="22"/>
        </w:rPr>
        <w:t xml:space="preserve">νοικοκυριά </w:t>
      </w:r>
    </w:p>
    <w:p w14:paraId="0583715C" w14:textId="07C08463" w:rsidR="00F47B20" w:rsidRPr="006C5064" w:rsidRDefault="00F47B20" w:rsidP="00A93D71">
      <w:pPr>
        <w:pStyle w:val="Web"/>
        <w:spacing w:before="120" w:beforeAutospacing="0" w:after="120" w:afterAutospacing="0" w:line="276" w:lineRule="auto"/>
        <w:jc w:val="both"/>
        <w:rPr>
          <w:rFonts w:ascii="Calibri" w:hAnsi="Calibri" w:cs="Calibri"/>
          <w:sz w:val="22"/>
          <w:szCs w:val="22"/>
        </w:rPr>
      </w:pPr>
      <w:r w:rsidRPr="006C5064">
        <w:rPr>
          <w:rFonts w:ascii="Calibri" w:hAnsi="Calibri" w:cs="Calibri"/>
          <w:sz w:val="22"/>
          <w:szCs w:val="22"/>
        </w:rPr>
        <w:lastRenderedPageBreak/>
        <w:t>Σκοπό</w:t>
      </w:r>
      <w:r w:rsidR="00AC1EDC">
        <w:rPr>
          <w:rFonts w:ascii="Calibri" w:hAnsi="Calibri" w:cs="Calibri"/>
          <w:sz w:val="22"/>
          <w:szCs w:val="22"/>
        </w:rPr>
        <w:t>ς</w:t>
      </w:r>
      <w:r w:rsidRPr="006C5064">
        <w:rPr>
          <w:rFonts w:ascii="Calibri" w:hAnsi="Calibri" w:cs="Calibri"/>
          <w:sz w:val="22"/>
          <w:szCs w:val="22"/>
        </w:rPr>
        <w:t xml:space="preserve"> του μέτρου αποτελεί η υ</w:t>
      </w:r>
      <w:r>
        <w:rPr>
          <w:rFonts w:ascii="Calibri" w:hAnsi="Calibri" w:cs="Calibri"/>
          <w:sz w:val="22"/>
          <w:szCs w:val="22"/>
        </w:rPr>
        <w:t>λοποίηση παρεμβάσεων</w:t>
      </w:r>
      <w:r w:rsidRPr="008F20D9">
        <w:rPr>
          <w:rFonts w:ascii="Calibri" w:hAnsi="Calibri" w:cs="Calibri"/>
          <w:sz w:val="22"/>
          <w:szCs w:val="22"/>
        </w:rPr>
        <w:t xml:space="preserve"> εξοικονόμησης ενέργειας και ΑΠΕ σε κτίρια </w:t>
      </w:r>
      <w:r>
        <w:rPr>
          <w:rFonts w:ascii="Calibri" w:hAnsi="Calibri" w:cs="Calibri"/>
          <w:sz w:val="22"/>
          <w:szCs w:val="22"/>
        </w:rPr>
        <w:t>ενεργειακά φτωχών</w:t>
      </w:r>
      <w:r w:rsidRPr="008F20D9">
        <w:rPr>
          <w:rFonts w:ascii="Calibri" w:hAnsi="Calibri" w:cs="Calibri"/>
          <w:sz w:val="22"/>
          <w:szCs w:val="22"/>
        </w:rPr>
        <w:t xml:space="preserve"> νοικοκυριών </w:t>
      </w:r>
      <w:r>
        <w:rPr>
          <w:rFonts w:ascii="Calibri" w:hAnsi="Calibri" w:cs="Calibri"/>
          <w:sz w:val="22"/>
          <w:szCs w:val="22"/>
        </w:rPr>
        <w:t>μέσω της παροχής οικονομικής ενίσχυσης στο πλαίσιο καινοτόμων χρηματοδοτικών εργαλείων.</w:t>
      </w:r>
    </w:p>
    <w:p w14:paraId="3E6765A8" w14:textId="22482C7B" w:rsidR="00F47B20" w:rsidRPr="004E45E1" w:rsidRDefault="00F47B20" w:rsidP="00A93D71">
      <w:pPr>
        <w:pStyle w:val="Web"/>
        <w:spacing w:before="120" w:beforeAutospacing="0" w:after="120" w:afterAutospacing="0" w:line="276" w:lineRule="auto"/>
        <w:jc w:val="both"/>
        <w:rPr>
          <w:rFonts w:ascii="Calibri" w:hAnsi="Calibri" w:cs="Calibri"/>
          <w:sz w:val="22"/>
          <w:szCs w:val="22"/>
        </w:rPr>
      </w:pPr>
      <w:r w:rsidRPr="004E45E1">
        <w:rPr>
          <w:rFonts w:ascii="Calibri" w:hAnsi="Calibri" w:cs="Calibri"/>
          <w:sz w:val="22"/>
          <w:szCs w:val="22"/>
        </w:rPr>
        <w:t xml:space="preserve">Το μέτρο αποσκοπεί στον σχεδιασμό και εφαρμογή καινοτόμων προγραμμάτων δημόσιας ή/και μικτής/υβριδικής χρηματοδότησης (blended/hybrid finance) για την περίπτωση των </w:t>
      </w:r>
      <w:r>
        <w:rPr>
          <w:rFonts w:ascii="Calibri" w:hAnsi="Calibri" w:cs="Calibri"/>
          <w:sz w:val="22"/>
          <w:szCs w:val="22"/>
        </w:rPr>
        <w:t>ενεργειακά φτωχών</w:t>
      </w:r>
      <w:r w:rsidRPr="004E45E1">
        <w:rPr>
          <w:rFonts w:ascii="Calibri" w:hAnsi="Calibri" w:cs="Calibri"/>
          <w:sz w:val="22"/>
          <w:szCs w:val="22"/>
        </w:rPr>
        <w:t xml:space="preserve"> νοικοκυριών. </w:t>
      </w:r>
    </w:p>
    <w:p w14:paraId="1FB3A8AA" w14:textId="77777777" w:rsidR="00F47B20" w:rsidRDefault="00F47B20" w:rsidP="00A93D71">
      <w:pPr>
        <w:pStyle w:val="Web"/>
        <w:spacing w:before="120" w:beforeAutospacing="0" w:after="120" w:afterAutospacing="0" w:line="276" w:lineRule="auto"/>
        <w:jc w:val="both"/>
        <w:rPr>
          <w:rFonts w:ascii="Calibri" w:hAnsi="Calibri" w:cs="Calibri"/>
          <w:sz w:val="22"/>
          <w:szCs w:val="22"/>
        </w:rPr>
      </w:pPr>
      <w:r w:rsidRPr="004E45E1">
        <w:rPr>
          <w:rFonts w:ascii="Calibri" w:hAnsi="Calibri" w:cs="Calibri"/>
          <w:sz w:val="22"/>
          <w:szCs w:val="22"/>
        </w:rPr>
        <w:t xml:space="preserve">Η δημόσια χρηματοδότηση </w:t>
      </w:r>
      <w:r>
        <w:rPr>
          <w:rFonts w:ascii="Calibri" w:hAnsi="Calibri" w:cs="Calibri"/>
          <w:sz w:val="22"/>
          <w:szCs w:val="22"/>
        </w:rPr>
        <w:t>θα στοχεύει</w:t>
      </w:r>
      <w:r w:rsidRPr="004E45E1">
        <w:rPr>
          <w:rFonts w:ascii="Calibri" w:hAnsi="Calibri" w:cs="Calibri"/>
          <w:sz w:val="22"/>
          <w:szCs w:val="22"/>
        </w:rPr>
        <w:t xml:space="preserve"> </w:t>
      </w:r>
      <w:r>
        <w:rPr>
          <w:rFonts w:ascii="Calibri" w:hAnsi="Calibri" w:cs="Calibri"/>
          <w:sz w:val="22"/>
          <w:szCs w:val="22"/>
        </w:rPr>
        <w:t>σ</w:t>
      </w:r>
      <w:r w:rsidRPr="004E45E1">
        <w:rPr>
          <w:rFonts w:ascii="Calibri" w:hAnsi="Calibri" w:cs="Calibri"/>
          <w:sz w:val="22"/>
          <w:szCs w:val="22"/>
        </w:rPr>
        <w:t>τη</w:t>
      </w:r>
      <w:r>
        <w:rPr>
          <w:rFonts w:ascii="Calibri" w:hAnsi="Calibri" w:cs="Calibri"/>
          <w:sz w:val="22"/>
          <w:szCs w:val="22"/>
        </w:rPr>
        <w:t>ν</w:t>
      </w:r>
      <w:r w:rsidRPr="004E45E1">
        <w:rPr>
          <w:rFonts w:ascii="Calibri" w:hAnsi="Calibri" w:cs="Calibri"/>
          <w:sz w:val="22"/>
          <w:szCs w:val="22"/>
        </w:rPr>
        <w:t xml:space="preserve"> ενεργειακή </w:t>
      </w:r>
      <w:r>
        <w:rPr>
          <w:rFonts w:ascii="Calibri" w:hAnsi="Calibri" w:cs="Calibri"/>
          <w:sz w:val="22"/>
          <w:szCs w:val="22"/>
        </w:rPr>
        <w:t>αναβάθμιση</w:t>
      </w:r>
      <w:r w:rsidRPr="004E45E1">
        <w:rPr>
          <w:rFonts w:ascii="Calibri" w:hAnsi="Calibri" w:cs="Calibri"/>
          <w:sz w:val="22"/>
          <w:szCs w:val="22"/>
        </w:rPr>
        <w:t xml:space="preserve"> ομοειδών κατοικιών και τη διεξαγωγή ανταγωνιστικών διαδικασιών με σκοπό τη μείωση του κόστους υλοποίησης</w:t>
      </w:r>
      <w:r>
        <w:rPr>
          <w:rFonts w:ascii="Calibri" w:hAnsi="Calibri" w:cs="Calibri"/>
          <w:sz w:val="22"/>
          <w:szCs w:val="22"/>
        </w:rPr>
        <w:t>,</w:t>
      </w:r>
      <w:r w:rsidRPr="004E45E1">
        <w:rPr>
          <w:rFonts w:ascii="Calibri" w:hAnsi="Calibri" w:cs="Calibri"/>
          <w:sz w:val="22"/>
          <w:szCs w:val="22"/>
        </w:rPr>
        <w:t xml:space="preserve"> λόγω των οικονομιών κλίμακος που θα δημιουργηθούν.</w:t>
      </w:r>
      <w:r>
        <w:rPr>
          <w:rFonts w:ascii="Calibri" w:hAnsi="Calibri" w:cs="Calibri"/>
          <w:sz w:val="22"/>
          <w:szCs w:val="22"/>
        </w:rPr>
        <w:t xml:space="preserve"> Στο πλαίσιο της ενεργειακής αναβάθμισης, θα δρομολογηθεί η υλοποίηση των </w:t>
      </w:r>
      <w:r w:rsidRPr="00A35DE1">
        <w:rPr>
          <w:rFonts w:ascii="Calibri" w:hAnsi="Calibri" w:cs="Calibri"/>
          <w:sz w:val="22"/>
          <w:szCs w:val="22"/>
        </w:rPr>
        <w:t>παρεμβάσεων εξοικονόμησης ενέργειας και ΑΠΕ</w:t>
      </w:r>
      <w:r>
        <w:rPr>
          <w:rFonts w:ascii="Calibri" w:hAnsi="Calibri" w:cs="Calibri"/>
          <w:sz w:val="22"/>
          <w:szCs w:val="22"/>
        </w:rPr>
        <w:t>, οι οποίες προβλέπονται στο πλαίσιο του μέτρου Μ3.</w:t>
      </w:r>
    </w:p>
    <w:p w14:paraId="4A5A31F0" w14:textId="77777777" w:rsidR="00F47B20" w:rsidRPr="004E45E1" w:rsidRDefault="00F47B20" w:rsidP="00A93D71">
      <w:pPr>
        <w:pStyle w:val="Web"/>
        <w:spacing w:before="120" w:beforeAutospacing="0" w:after="120" w:afterAutospacing="0" w:line="276" w:lineRule="auto"/>
        <w:jc w:val="both"/>
        <w:rPr>
          <w:rFonts w:ascii="Calibri" w:hAnsi="Calibri" w:cs="Calibri"/>
          <w:sz w:val="22"/>
          <w:szCs w:val="22"/>
        </w:rPr>
      </w:pPr>
      <w:r w:rsidRPr="004E45E1">
        <w:rPr>
          <w:rFonts w:ascii="Calibri" w:hAnsi="Calibri" w:cs="Calibri"/>
          <w:sz w:val="22"/>
          <w:szCs w:val="22"/>
        </w:rPr>
        <w:t xml:space="preserve">Η ιδιωτική χρηματοδότηση </w:t>
      </w:r>
      <w:r>
        <w:rPr>
          <w:rFonts w:ascii="Calibri" w:hAnsi="Calibri" w:cs="Calibri"/>
          <w:sz w:val="22"/>
          <w:szCs w:val="22"/>
        </w:rPr>
        <w:t>δύναται ν</w:t>
      </w:r>
      <w:r w:rsidRPr="004E45E1">
        <w:rPr>
          <w:rFonts w:ascii="Calibri" w:hAnsi="Calibri" w:cs="Calibri"/>
          <w:sz w:val="22"/>
          <w:szCs w:val="22"/>
        </w:rPr>
        <w:t>α προέλθει από τους παρόχους ενέργειας μέσω  σχήματος χρηματοδότησης από τα τιμολόγια ενέργειας (on-bill financing).</w:t>
      </w:r>
      <w:r>
        <w:rPr>
          <w:rFonts w:ascii="Calibri" w:hAnsi="Calibri" w:cs="Calibri"/>
          <w:sz w:val="22"/>
          <w:szCs w:val="22"/>
        </w:rPr>
        <w:t xml:space="preserve"> </w:t>
      </w:r>
    </w:p>
    <w:p w14:paraId="2A5B103C" w14:textId="7F30E519" w:rsidR="00F47B20" w:rsidRPr="00A93D71" w:rsidRDefault="00F47B20" w:rsidP="00A93D71">
      <w:pPr>
        <w:pStyle w:val="Web"/>
        <w:spacing w:before="120" w:beforeAutospacing="0" w:after="120" w:afterAutospacing="0" w:line="276" w:lineRule="auto"/>
        <w:jc w:val="both"/>
        <w:rPr>
          <w:rFonts w:ascii="Calibri" w:hAnsi="Calibri" w:cs="Calibri"/>
          <w:sz w:val="22"/>
          <w:szCs w:val="22"/>
        </w:rPr>
      </w:pPr>
      <w:r w:rsidRPr="004E45E1">
        <w:rPr>
          <w:rFonts w:ascii="Calibri" w:hAnsi="Calibri" w:cs="Calibri"/>
          <w:sz w:val="22"/>
          <w:szCs w:val="22"/>
        </w:rPr>
        <w:t>Επιπρόσθετα, θα επιδιωχθεί η πιο ενεργή συμμετοχή των ΟΤΑ Α' βαθμού και των ΟΤΑ Β' βαθμού στη χρηματοδότηση των απαιτούμενων επενδύσεων μέσω σχήματος χρηματοδότησης από τους δημοτικούς φόρους (on-tax financing).</w:t>
      </w:r>
    </w:p>
    <w:p w14:paraId="1FBA8276" w14:textId="77777777" w:rsidR="00F47B20" w:rsidRPr="00F47B20" w:rsidRDefault="00F47B20" w:rsidP="00F47B20">
      <w:pPr>
        <w:pStyle w:val="Web"/>
        <w:spacing w:before="120" w:beforeAutospacing="0" w:after="120" w:afterAutospacing="0"/>
        <w:jc w:val="both"/>
        <w:rPr>
          <w:rFonts w:ascii="Calibri" w:hAnsi="Calibri" w:cs="Calibri"/>
          <w:sz w:val="22"/>
          <w:szCs w:val="22"/>
        </w:rPr>
      </w:pPr>
    </w:p>
    <w:p w14:paraId="10DAD92B" w14:textId="2CA249E4" w:rsidR="00734889" w:rsidRPr="00734889" w:rsidRDefault="00734889" w:rsidP="00734889">
      <w:pPr>
        <w:pStyle w:val="3"/>
        <w:spacing w:before="120" w:after="120"/>
        <w:rPr>
          <w:rFonts w:asciiTheme="minorHAnsi" w:hAnsiTheme="minorHAnsi" w:cstheme="minorHAnsi"/>
          <w:color w:val="002060"/>
          <w:sz w:val="24"/>
          <w:szCs w:val="24"/>
        </w:rPr>
      </w:pPr>
      <w:bookmarkStart w:id="18" w:name="_Toc214271401"/>
      <w:r w:rsidRPr="00734889">
        <w:rPr>
          <w:rFonts w:asciiTheme="minorHAnsi" w:hAnsiTheme="minorHAnsi" w:cstheme="minorHAnsi"/>
          <w:color w:val="002060"/>
          <w:sz w:val="24"/>
          <w:szCs w:val="24"/>
        </w:rPr>
        <w:t>Διάσταση Ι</w:t>
      </w:r>
      <w:r>
        <w:rPr>
          <w:rFonts w:asciiTheme="minorHAnsi" w:hAnsiTheme="minorHAnsi" w:cstheme="minorHAnsi"/>
          <w:color w:val="002060"/>
          <w:sz w:val="24"/>
          <w:szCs w:val="24"/>
          <w:lang w:val="en-US"/>
        </w:rPr>
        <w:t>II</w:t>
      </w:r>
      <w:r w:rsidRPr="00734889">
        <w:rPr>
          <w:rFonts w:asciiTheme="minorHAnsi" w:hAnsiTheme="minorHAnsi" w:cstheme="minorHAnsi"/>
          <w:color w:val="002060"/>
          <w:sz w:val="24"/>
          <w:szCs w:val="24"/>
        </w:rPr>
        <w:t xml:space="preserve">: </w:t>
      </w:r>
      <w:r w:rsidR="00BB08EA" w:rsidRPr="00BB08EA">
        <w:rPr>
          <w:rFonts w:asciiTheme="minorHAnsi" w:hAnsiTheme="minorHAnsi" w:cstheme="minorHAnsi"/>
          <w:color w:val="002060"/>
          <w:sz w:val="24"/>
          <w:szCs w:val="24"/>
        </w:rPr>
        <w:t>Δράσεις ενημέρωσης, εκπαίδευσης και συντονισμού</w:t>
      </w:r>
      <w:bookmarkEnd w:id="18"/>
    </w:p>
    <w:p w14:paraId="46C33DDA" w14:textId="7B0B0988" w:rsidR="0098625D" w:rsidRDefault="00734889" w:rsidP="009B62BC">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Τα μέτρα πολιτικής, τα οποία προβλέπονται στο πλαίσιο της τρίτης διάστασης</w:t>
      </w:r>
      <w:r w:rsidR="00130389">
        <w:rPr>
          <w:rFonts w:ascii="Calibri" w:hAnsi="Calibri" w:cs="Calibri"/>
          <w:sz w:val="22"/>
          <w:szCs w:val="22"/>
        </w:rPr>
        <w:t>,</w:t>
      </w:r>
      <w:r>
        <w:rPr>
          <w:rFonts w:ascii="Calibri" w:hAnsi="Calibri" w:cs="Calibri"/>
          <w:sz w:val="22"/>
          <w:szCs w:val="22"/>
        </w:rPr>
        <w:t xml:space="preserve"> στοχεύουν στο σύνολο των </w:t>
      </w:r>
      <w:r w:rsidR="006D7A74">
        <w:rPr>
          <w:rFonts w:ascii="Calibri" w:hAnsi="Calibri" w:cs="Calibri"/>
          <w:sz w:val="22"/>
          <w:szCs w:val="22"/>
        </w:rPr>
        <w:t xml:space="preserve">ενεργειακά φτωχών </w:t>
      </w:r>
      <w:r>
        <w:rPr>
          <w:rFonts w:ascii="Calibri" w:hAnsi="Calibri" w:cs="Calibri"/>
          <w:sz w:val="22"/>
          <w:szCs w:val="22"/>
        </w:rPr>
        <w:t>νοικοκυριών, με σκοπό τη</w:t>
      </w:r>
      <w:r w:rsidR="00130389">
        <w:rPr>
          <w:rFonts w:ascii="Calibri" w:hAnsi="Calibri" w:cs="Calibri"/>
          <w:sz w:val="22"/>
          <w:szCs w:val="22"/>
        </w:rPr>
        <w:t>ν</w:t>
      </w:r>
      <w:r>
        <w:rPr>
          <w:rFonts w:ascii="Calibri" w:hAnsi="Calibri" w:cs="Calibri"/>
          <w:sz w:val="22"/>
          <w:szCs w:val="22"/>
        </w:rPr>
        <w:t xml:space="preserve"> </w:t>
      </w:r>
      <w:r w:rsidR="00130389">
        <w:rPr>
          <w:rFonts w:ascii="Calibri" w:hAnsi="Calibri" w:cs="Calibri"/>
          <w:sz w:val="22"/>
          <w:szCs w:val="22"/>
        </w:rPr>
        <w:t>πληρέστερη κατανόηση</w:t>
      </w:r>
      <w:r w:rsidR="006D7A74">
        <w:rPr>
          <w:rFonts w:ascii="Calibri" w:hAnsi="Calibri" w:cs="Calibri"/>
          <w:sz w:val="22"/>
          <w:szCs w:val="22"/>
        </w:rPr>
        <w:t>,</w:t>
      </w:r>
      <w:r w:rsidR="00130389">
        <w:rPr>
          <w:rFonts w:ascii="Calibri" w:hAnsi="Calibri" w:cs="Calibri"/>
          <w:sz w:val="22"/>
          <w:szCs w:val="22"/>
        </w:rPr>
        <w:t xml:space="preserve"> </w:t>
      </w:r>
      <w:r>
        <w:rPr>
          <w:rFonts w:ascii="Calibri" w:hAnsi="Calibri" w:cs="Calibri"/>
          <w:sz w:val="22"/>
          <w:szCs w:val="22"/>
        </w:rPr>
        <w:t xml:space="preserve">τόσο των γενικότερων ζητημάτων που σχετίζονται με τη χρήση και διαχείριση ενέργειας, όσο και των ειδικότερων </w:t>
      </w:r>
      <w:r w:rsidR="00130389">
        <w:rPr>
          <w:rFonts w:ascii="Calibri" w:hAnsi="Calibri" w:cs="Calibri"/>
          <w:sz w:val="22"/>
          <w:szCs w:val="22"/>
        </w:rPr>
        <w:t xml:space="preserve">ζητημάτων </w:t>
      </w:r>
      <w:r>
        <w:rPr>
          <w:rFonts w:ascii="Calibri" w:hAnsi="Calibri" w:cs="Calibri"/>
          <w:sz w:val="22"/>
          <w:szCs w:val="22"/>
        </w:rPr>
        <w:t>σχετικά με την ενεργειακή ένδεια.</w:t>
      </w:r>
      <w:r w:rsidR="009B62BC">
        <w:rPr>
          <w:rFonts w:ascii="Calibri" w:hAnsi="Calibri" w:cs="Calibri"/>
          <w:sz w:val="22"/>
          <w:szCs w:val="22"/>
        </w:rPr>
        <w:t xml:space="preserve"> </w:t>
      </w:r>
    </w:p>
    <w:p w14:paraId="0909DCC7" w14:textId="0A6E5BC5" w:rsidR="009B62BC" w:rsidRDefault="009B62BC" w:rsidP="009B62BC">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Επιπρόσθετα, θα προβλεφθεί η αξιοποίηση των Υπηρεσιών Μιας Στάσης με σκοπό τον αποτελεσματικό συντονισμό όλων των απαραίτητων δράσεων για την αντιμετώπιση της ενεργειακής ένδειας.</w:t>
      </w:r>
    </w:p>
    <w:p w14:paraId="7DEA65DD" w14:textId="77777777" w:rsidR="00AC1EDC" w:rsidRDefault="00AC1EDC" w:rsidP="009B62BC">
      <w:pPr>
        <w:pStyle w:val="Web"/>
        <w:spacing w:before="120" w:beforeAutospacing="0" w:after="120" w:afterAutospacing="0" w:line="276" w:lineRule="auto"/>
        <w:jc w:val="both"/>
        <w:rPr>
          <w:rFonts w:ascii="Calibri" w:hAnsi="Calibri" w:cs="Calibri"/>
          <w:sz w:val="22"/>
          <w:szCs w:val="22"/>
        </w:rPr>
      </w:pPr>
    </w:p>
    <w:p w14:paraId="2E9F9E05" w14:textId="1E4251B1" w:rsidR="00EB2FC5" w:rsidRPr="00F6398E" w:rsidRDefault="00F6398E" w:rsidP="00EB2FC5">
      <w:pPr>
        <w:pStyle w:val="Web"/>
        <w:spacing w:before="120" w:beforeAutospacing="0" w:after="120" w:afterAutospacing="0" w:line="276" w:lineRule="auto"/>
        <w:jc w:val="both"/>
        <w:rPr>
          <w:rFonts w:ascii="Calibri" w:hAnsi="Calibri" w:cs="Calibri"/>
          <w:b/>
          <w:bCs/>
          <w:sz w:val="22"/>
          <w:szCs w:val="22"/>
        </w:rPr>
      </w:pPr>
      <w:bookmarkStart w:id="19" w:name="_Hlk197771306"/>
      <w:r>
        <w:rPr>
          <w:rFonts w:ascii="Calibri" w:hAnsi="Calibri" w:cs="Calibri"/>
          <w:b/>
          <w:bCs/>
          <w:sz w:val="22"/>
          <w:szCs w:val="22"/>
        </w:rPr>
        <w:t xml:space="preserve">Μ6. </w:t>
      </w:r>
      <w:r w:rsidR="00EB2FC5" w:rsidRPr="00B70F73">
        <w:rPr>
          <w:rFonts w:ascii="Calibri" w:hAnsi="Calibri" w:cs="Calibri"/>
          <w:b/>
          <w:bCs/>
          <w:sz w:val="22"/>
          <w:szCs w:val="22"/>
        </w:rPr>
        <w:t>Διενέργεια στοχευμένων δράσεων ενημέρωσης και εκπαίδευσης</w:t>
      </w:r>
    </w:p>
    <w:p w14:paraId="092740D6" w14:textId="6A4115ED" w:rsidR="00EB2FC5" w:rsidRPr="00EB2FC5" w:rsidRDefault="00EB2FC5" w:rsidP="00EB2FC5">
      <w:pPr>
        <w:pStyle w:val="Web"/>
        <w:spacing w:before="120" w:beforeAutospacing="0" w:after="120" w:afterAutospacing="0" w:line="276" w:lineRule="auto"/>
        <w:jc w:val="both"/>
        <w:rPr>
          <w:rFonts w:ascii="Calibri" w:hAnsi="Calibri" w:cs="Calibri"/>
          <w:sz w:val="22"/>
          <w:szCs w:val="22"/>
        </w:rPr>
      </w:pPr>
      <w:r w:rsidRPr="00EB2FC5">
        <w:rPr>
          <w:rFonts w:ascii="Calibri" w:hAnsi="Calibri" w:cs="Calibri"/>
          <w:sz w:val="22"/>
          <w:szCs w:val="22"/>
        </w:rPr>
        <w:t>Σκοπός</w:t>
      </w:r>
      <w:r w:rsidRPr="00EB2FC5">
        <w:rPr>
          <w:rFonts w:ascii="Calibri" w:hAnsi="Calibri" w:cs="Calibri"/>
          <w:sz w:val="22"/>
          <w:szCs w:val="22"/>
        </w:rPr>
        <w:tab/>
      </w:r>
      <w:r>
        <w:rPr>
          <w:rFonts w:ascii="Calibri" w:hAnsi="Calibri" w:cs="Calibri"/>
          <w:sz w:val="22"/>
          <w:szCs w:val="22"/>
        </w:rPr>
        <w:t>του συγκεκριμένου μέτρου είναι η υ</w:t>
      </w:r>
      <w:r w:rsidRPr="00EB2FC5">
        <w:rPr>
          <w:rFonts w:ascii="Calibri" w:hAnsi="Calibri" w:cs="Calibri"/>
          <w:sz w:val="22"/>
          <w:szCs w:val="22"/>
        </w:rPr>
        <w:t>λοποίηση δράσεων ενημέρωσης και εκπαίδευσης σε πληττόμενα νοικοκυριά και επαγγελματίες, οι οποίοι απασχολούνται σε κλάδους σχετικούς με δράσεις εξοικονόμησης ενέργειας.</w:t>
      </w:r>
    </w:p>
    <w:p w14:paraId="08661581" w14:textId="0B3033B8" w:rsidR="00EB2FC5" w:rsidRPr="00EB2FC5" w:rsidRDefault="00EB2FC5" w:rsidP="00EB2FC5">
      <w:pPr>
        <w:pStyle w:val="Web"/>
        <w:spacing w:before="120" w:beforeAutospacing="0" w:after="120" w:afterAutospacing="0" w:line="276" w:lineRule="auto"/>
        <w:jc w:val="both"/>
        <w:rPr>
          <w:rFonts w:ascii="Calibri" w:hAnsi="Calibri" w:cs="Calibri"/>
          <w:sz w:val="22"/>
          <w:szCs w:val="22"/>
        </w:rPr>
      </w:pPr>
      <w:r w:rsidRPr="00EB2FC5">
        <w:rPr>
          <w:rFonts w:ascii="Calibri" w:hAnsi="Calibri" w:cs="Calibri"/>
          <w:sz w:val="22"/>
          <w:szCs w:val="22"/>
        </w:rPr>
        <w:t xml:space="preserve">Η υλοποίηση των συγκεκριμένων δράσεων θα πραγματοποιηθεί με την εμπλοκή όλων των φορέων, </w:t>
      </w:r>
      <w:r w:rsidR="009659DF" w:rsidRPr="009659DF">
        <w:rPr>
          <w:rFonts w:ascii="Calibri" w:hAnsi="Calibri" w:cs="Calibri"/>
          <w:sz w:val="22"/>
          <w:szCs w:val="22"/>
        </w:rPr>
        <w:t>όπως είναι ενδεικτικά οι ΟΤΑ Α' βαθμού, οι ΟΤΑ Β' βαθμού, τα επιμελητήρια, οι επαγγελματικές ενώσεις, οι ενώσεις καταναλωτών, οι εκπαιδευτικοί φορείς, οι κοινότητες ανανεώσιμων πηγών και κοινότητες πολιτών κ.ά.,</w:t>
      </w:r>
      <w:r w:rsidR="009659DF">
        <w:rPr>
          <w:rFonts w:ascii="Calibri" w:hAnsi="Calibri" w:cs="Calibri"/>
          <w:sz w:val="22"/>
          <w:szCs w:val="22"/>
        </w:rPr>
        <w:t xml:space="preserve"> </w:t>
      </w:r>
      <w:r w:rsidRPr="00EB2FC5">
        <w:rPr>
          <w:rFonts w:ascii="Calibri" w:hAnsi="Calibri" w:cs="Calibri"/>
          <w:sz w:val="22"/>
          <w:szCs w:val="22"/>
        </w:rPr>
        <w:t xml:space="preserve">οι οποίοι δύνανται να συμβάλουν στη διάχυση της υφιστάμενης τεχνογνωσίας, </w:t>
      </w:r>
      <w:r w:rsidR="009659DF">
        <w:rPr>
          <w:rFonts w:ascii="Calibri" w:hAnsi="Calibri" w:cs="Calibri"/>
          <w:sz w:val="22"/>
          <w:szCs w:val="22"/>
        </w:rPr>
        <w:t>καθώς και</w:t>
      </w:r>
      <w:r w:rsidR="009659DF" w:rsidRPr="009659DF">
        <w:rPr>
          <w:rFonts w:ascii="Calibri" w:hAnsi="Calibri" w:cs="Calibri"/>
          <w:sz w:val="22"/>
          <w:szCs w:val="22"/>
        </w:rPr>
        <w:t xml:space="preserve"> </w:t>
      </w:r>
      <w:r w:rsidR="009659DF">
        <w:rPr>
          <w:rFonts w:ascii="Calibri" w:hAnsi="Calibri" w:cs="Calibri"/>
          <w:sz w:val="22"/>
          <w:szCs w:val="22"/>
        </w:rPr>
        <w:t>σ</w:t>
      </w:r>
      <w:r w:rsidR="009659DF" w:rsidRPr="009659DF">
        <w:rPr>
          <w:rFonts w:ascii="Calibri" w:hAnsi="Calibri" w:cs="Calibri"/>
          <w:sz w:val="22"/>
          <w:szCs w:val="22"/>
        </w:rPr>
        <w:t>τον εντοπισμό των πληττόμενων νοικοκυριών</w:t>
      </w:r>
      <w:r w:rsidR="009659DF">
        <w:rPr>
          <w:rFonts w:ascii="Calibri" w:hAnsi="Calibri" w:cs="Calibri"/>
          <w:sz w:val="22"/>
          <w:szCs w:val="22"/>
        </w:rPr>
        <w:t>.</w:t>
      </w:r>
    </w:p>
    <w:p w14:paraId="546C6F97" w14:textId="6A9BF1A4" w:rsidR="00772076" w:rsidRDefault="00EB2FC5" w:rsidP="001C19FA">
      <w:pPr>
        <w:pStyle w:val="Web"/>
        <w:spacing w:before="120" w:beforeAutospacing="0" w:after="120" w:afterAutospacing="0" w:line="276" w:lineRule="auto"/>
        <w:jc w:val="both"/>
        <w:rPr>
          <w:rFonts w:ascii="Calibri" w:hAnsi="Calibri" w:cs="Calibri"/>
          <w:sz w:val="22"/>
          <w:szCs w:val="22"/>
        </w:rPr>
      </w:pPr>
      <w:r w:rsidRPr="00EB2FC5">
        <w:rPr>
          <w:rFonts w:ascii="Calibri" w:hAnsi="Calibri" w:cs="Calibri"/>
          <w:sz w:val="22"/>
          <w:szCs w:val="22"/>
        </w:rPr>
        <w:t>Προτεραιότητα θα δοθεί στην προστασία των προσωπικών δεδομένων και στην εφαρμογή βέλτιστων πρακτικών για την αποφυγή του κινδύνου στιγματισμού των πληττόμενων νοικοκυριών.</w:t>
      </w:r>
    </w:p>
    <w:p w14:paraId="482B9025" w14:textId="77777777" w:rsidR="00AC1EDC" w:rsidRDefault="00AC1EDC" w:rsidP="001C19FA">
      <w:pPr>
        <w:pStyle w:val="Web"/>
        <w:spacing w:before="120" w:beforeAutospacing="0" w:after="120" w:afterAutospacing="0" w:line="276" w:lineRule="auto"/>
        <w:jc w:val="both"/>
        <w:rPr>
          <w:rFonts w:ascii="Calibri" w:hAnsi="Calibri" w:cs="Calibri"/>
          <w:sz w:val="22"/>
          <w:szCs w:val="22"/>
        </w:rPr>
      </w:pPr>
    </w:p>
    <w:p w14:paraId="20593F1A" w14:textId="417EAFF5" w:rsidR="001C19FA" w:rsidRPr="00A93D71" w:rsidRDefault="00702544" w:rsidP="001C19FA">
      <w:pPr>
        <w:pStyle w:val="Web"/>
        <w:spacing w:before="120" w:beforeAutospacing="0" w:after="120" w:afterAutospacing="0" w:line="276" w:lineRule="auto"/>
        <w:jc w:val="both"/>
        <w:rPr>
          <w:rFonts w:ascii="Calibri" w:hAnsi="Calibri" w:cs="Calibri"/>
          <w:b/>
          <w:bCs/>
          <w:sz w:val="22"/>
          <w:szCs w:val="22"/>
        </w:rPr>
      </w:pPr>
      <w:r w:rsidRPr="00B70F73">
        <w:rPr>
          <w:rFonts w:ascii="Calibri" w:hAnsi="Calibri" w:cs="Calibri"/>
          <w:b/>
          <w:bCs/>
          <w:sz w:val="22"/>
          <w:szCs w:val="22"/>
        </w:rPr>
        <w:t>Μ</w:t>
      </w:r>
      <w:r w:rsidR="00F6398E">
        <w:rPr>
          <w:rFonts w:ascii="Calibri" w:hAnsi="Calibri" w:cs="Calibri"/>
          <w:b/>
          <w:bCs/>
          <w:sz w:val="22"/>
          <w:szCs w:val="22"/>
        </w:rPr>
        <w:t>7</w:t>
      </w:r>
      <w:r w:rsidR="001C19FA" w:rsidRPr="00B70F73">
        <w:rPr>
          <w:rFonts w:ascii="Calibri" w:hAnsi="Calibri" w:cs="Calibri"/>
          <w:b/>
          <w:bCs/>
          <w:sz w:val="22"/>
          <w:szCs w:val="22"/>
        </w:rPr>
        <w:t>. Ίδρυση Υπηρεσιών Μιας Στάσης</w:t>
      </w:r>
    </w:p>
    <w:p w14:paraId="3D0D34A8" w14:textId="060B31A6" w:rsidR="00F47B20" w:rsidRPr="001C19FA" w:rsidRDefault="00F47B20" w:rsidP="00B40588">
      <w:pPr>
        <w:pStyle w:val="Web"/>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Το μέτρ</w:t>
      </w:r>
      <w:r w:rsidRPr="00A93D71">
        <w:rPr>
          <w:rFonts w:ascii="Calibri" w:hAnsi="Calibri" w:cs="Calibri"/>
          <w:sz w:val="22"/>
          <w:szCs w:val="22"/>
        </w:rPr>
        <w:t>ο</w:t>
      </w:r>
      <w:r w:rsidRPr="001C19FA">
        <w:rPr>
          <w:rFonts w:ascii="Calibri" w:hAnsi="Calibri" w:cs="Calibri"/>
          <w:sz w:val="22"/>
          <w:szCs w:val="22"/>
        </w:rPr>
        <w:t xml:space="preserve"> αποσκοπεί στην ίδρυση Υπηρεσιών Μιας Στάσης</w:t>
      </w:r>
      <w:r>
        <w:rPr>
          <w:rFonts w:ascii="Calibri" w:hAnsi="Calibri" w:cs="Calibri"/>
          <w:sz w:val="22"/>
          <w:szCs w:val="22"/>
        </w:rPr>
        <w:t>,</w:t>
      </w:r>
      <w:r w:rsidRPr="001C19FA">
        <w:rPr>
          <w:rFonts w:ascii="Calibri" w:hAnsi="Calibri" w:cs="Calibri"/>
          <w:sz w:val="22"/>
          <w:szCs w:val="22"/>
        </w:rPr>
        <w:t xml:space="preserve"> με σκοπό την αποδοτικότερη αντιμετώπιση του φαινομένου της ενεργειακής ένδειας σε τοπικό και περιφερειακό επίπεδο. </w:t>
      </w:r>
    </w:p>
    <w:p w14:paraId="3EA9E926" w14:textId="77777777" w:rsidR="00F47B20" w:rsidRPr="001C19FA" w:rsidRDefault="00F47B20" w:rsidP="00B40588">
      <w:pPr>
        <w:pStyle w:val="Web"/>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Οι Υπηρεσίες Μιας Στάσης που θα συσταθούν δύνανται να παρέχουν ενδεικτικά σε πρώτη φάση τις ακόλουθες υπηρεσίες:</w:t>
      </w:r>
    </w:p>
    <w:p w14:paraId="176221A9" w14:textId="0D7E5FFF"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Pr>
          <w:rFonts w:ascii="Calibri" w:hAnsi="Calibri" w:cs="Calibri"/>
          <w:sz w:val="22"/>
          <w:szCs w:val="22"/>
        </w:rPr>
        <w:t>Επεξήγηση/αποσαφήνιση</w:t>
      </w:r>
      <w:r w:rsidRPr="001C19FA">
        <w:rPr>
          <w:rFonts w:ascii="Calibri" w:hAnsi="Calibri" w:cs="Calibri"/>
          <w:sz w:val="22"/>
          <w:szCs w:val="22"/>
        </w:rPr>
        <w:t xml:space="preserve"> των λογαριασμών ενέργειας και παροχή συμβουλών σχετικά με τη μείωση των </w:t>
      </w:r>
      <w:r>
        <w:rPr>
          <w:rFonts w:ascii="Calibri" w:hAnsi="Calibri" w:cs="Calibri"/>
          <w:sz w:val="22"/>
          <w:szCs w:val="22"/>
        </w:rPr>
        <w:t>καταναλώσεων</w:t>
      </w:r>
      <w:r w:rsidRPr="001C19FA">
        <w:rPr>
          <w:rFonts w:ascii="Calibri" w:hAnsi="Calibri" w:cs="Calibri"/>
          <w:sz w:val="22"/>
          <w:szCs w:val="22"/>
        </w:rPr>
        <w:t xml:space="preserve"> ενέργειας και την αποδοτικότερη χρήση της ενέργειας.</w:t>
      </w:r>
    </w:p>
    <w:p w14:paraId="2AB2157B" w14:textId="0C857484"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Ευαισθητοποίηση σχετικά με τα οφέλη από την υλοποίηση παρεμβάσεων βελτίωσης της ενεργειακής απόδοσης και τη χρήση ΑΠΕ.</w:t>
      </w:r>
    </w:p>
    <w:p w14:paraId="0CEED54C" w14:textId="3CCB261F"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Παροχή πληροφοριών για το σύνολο των βημάτων που απαιτούνται για την υλοποίηση παρεμβάσεων βελτίωσης της ενεργειακής απόδοσης και τη χρήση ΑΠΕ.</w:t>
      </w:r>
    </w:p>
    <w:p w14:paraId="41796E45" w14:textId="229FD4D5"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 xml:space="preserve">Πραγματοποίηση προκαταρκτικής ανάλυσης κτιρίου και ποσοτικοποίηση του εκτιμώμενου κόστους ανακαίνισης και των αναμενόμενων </w:t>
      </w:r>
      <w:r>
        <w:rPr>
          <w:rFonts w:ascii="Calibri" w:hAnsi="Calibri" w:cs="Calibri"/>
          <w:sz w:val="22"/>
          <w:szCs w:val="22"/>
        </w:rPr>
        <w:t>αποτελεσμάτων</w:t>
      </w:r>
      <w:r w:rsidRPr="001C19FA">
        <w:rPr>
          <w:rFonts w:ascii="Calibri" w:hAnsi="Calibri" w:cs="Calibri"/>
          <w:sz w:val="22"/>
          <w:szCs w:val="22"/>
        </w:rPr>
        <w:t>.</w:t>
      </w:r>
    </w:p>
    <w:p w14:paraId="6A88269A" w14:textId="4912EA10"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 xml:space="preserve">Παροχή πληροφοριών σχετικά με τα διαθέσιμα προγράμματα </w:t>
      </w:r>
      <w:r>
        <w:rPr>
          <w:rFonts w:ascii="Calibri" w:hAnsi="Calibri" w:cs="Calibri"/>
          <w:sz w:val="22"/>
          <w:szCs w:val="22"/>
        </w:rPr>
        <w:t>ενεργειακής αναβάθμισης</w:t>
      </w:r>
      <w:r w:rsidRPr="001C19FA">
        <w:rPr>
          <w:rFonts w:ascii="Calibri" w:hAnsi="Calibri" w:cs="Calibri"/>
          <w:sz w:val="22"/>
          <w:szCs w:val="22"/>
        </w:rPr>
        <w:t>.</w:t>
      </w:r>
    </w:p>
    <w:p w14:paraId="043DE479" w14:textId="616B6583"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Παροχή πληροφοριών και υποστήριξη για την προετοιμασία όλων των απαραίτητων εγγράφων για τη συμμετοχή στα υφιστάμενα προγράμματα</w:t>
      </w:r>
      <w:r>
        <w:rPr>
          <w:rFonts w:ascii="Calibri" w:hAnsi="Calibri" w:cs="Calibri"/>
          <w:sz w:val="22"/>
          <w:szCs w:val="22"/>
        </w:rPr>
        <w:t xml:space="preserve"> χρηματοδότησης</w:t>
      </w:r>
      <w:r w:rsidRPr="001C19FA">
        <w:rPr>
          <w:rFonts w:ascii="Calibri" w:hAnsi="Calibri" w:cs="Calibri"/>
          <w:sz w:val="22"/>
          <w:szCs w:val="22"/>
        </w:rPr>
        <w:t>.</w:t>
      </w:r>
    </w:p>
    <w:p w14:paraId="5572B977" w14:textId="13B42444"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Καθοδήγηση για την επίλυση διαφορών και διεκδίκηση δικαιωμάτων ως καταναλωτές.</w:t>
      </w:r>
    </w:p>
    <w:p w14:paraId="2D41FD52" w14:textId="779351C8" w:rsidR="00F47B20" w:rsidRPr="001C19FA"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Διεξαγωγή συλλογικών παραγγελιών και διαπραγματεύσεων για την επίτευξη χαμηλότερων τιμών για την αγορά ενεργειακά αποδοτικού εξοπλισμού.</w:t>
      </w:r>
    </w:p>
    <w:p w14:paraId="65BE47FE" w14:textId="24891D96" w:rsidR="00F47B20" w:rsidRPr="00A93D71" w:rsidRDefault="00F47B20" w:rsidP="00CF4AF8">
      <w:pPr>
        <w:pStyle w:val="Web"/>
        <w:numPr>
          <w:ilvl w:val="0"/>
          <w:numId w:val="66"/>
        </w:numPr>
        <w:spacing w:before="120" w:beforeAutospacing="0" w:after="120" w:afterAutospacing="0" w:line="276" w:lineRule="auto"/>
        <w:jc w:val="both"/>
        <w:rPr>
          <w:rFonts w:ascii="Calibri" w:hAnsi="Calibri" w:cs="Calibri"/>
          <w:sz w:val="22"/>
          <w:szCs w:val="22"/>
        </w:rPr>
      </w:pPr>
      <w:r w:rsidRPr="001C19FA">
        <w:rPr>
          <w:rFonts w:ascii="Calibri" w:hAnsi="Calibri" w:cs="Calibri"/>
          <w:sz w:val="22"/>
          <w:szCs w:val="22"/>
        </w:rPr>
        <w:t>Σύναψη εθελοντικών συμφωνιών με ενώσεις επαγγελματικών και παραγωγικών φορέων</w:t>
      </w:r>
      <w:r>
        <w:rPr>
          <w:rFonts w:ascii="Calibri" w:hAnsi="Calibri" w:cs="Calibri"/>
          <w:sz w:val="22"/>
          <w:szCs w:val="22"/>
        </w:rPr>
        <w:t xml:space="preserve">, </w:t>
      </w:r>
      <w:r w:rsidRPr="001C19FA">
        <w:rPr>
          <w:rFonts w:ascii="Calibri" w:hAnsi="Calibri" w:cs="Calibri"/>
          <w:sz w:val="22"/>
          <w:szCs w:val="22"/>
        </w:rPr>
        <w:t>με σκοπό το</w:t>
      </w:r>
      <w:r>
        <w:rPr>
          <w:rFonts w:ascii="Calibri" w:hAnsi="Calibri" w:cs="Calibri"/>
          <w:sz w:val="22"/>
          <w:szCs w:val="22"/>
        </w:rPr>
        <w:t>ν</w:t>
      </w:r>
      <w:r w:rsidRPr="001C19FA">
        <w:rPr>
          <w:rFonts w:ascii="Calibri" w:hAnsi="Calibri" w:cs="Calibri"/>
          <w:sz w:val="22"/>
          <w:szCs w:val="22"/>
        </w:rPr>
        <w:t xml:space="preserve"> κεντρικό σχεδιασμό των απαιτούμενων δράσεων και τη μεγιστοποίηση του οφέλους για τα πληττόμενα νοικοκυριά.</w:t>
      </w:r>
    </w:p>
    <w:bookmarkEnd w:id="19"/>
    <w:p w14:paraId="765DF9F7" w14:textId="77777777" w:rsidR="001C19FA" w:rsidRPr="00CF4F0A" w:rsidRDefault="001C19FA" w:rsidP="00145415">
      <w:pPr>
        <w:pStyle w:val="Web"/>
        <w:spacing w:before="120" w:beforeAutospacing="0" w:after="120" w:afterAutospacing="0" w:line="276" w:lineRule="auto"/>
        <w:jc w:val="both"/>
        <w:rPr>
          <w:rFonts w:ascii="Calibri" w:hAnsi="Calibri" w:cs="Calibri"/>
          <w:sz w:val="22"/>
          <w:szCs w:val="22"/>
        </w:rPr>
      </w:pPr>
    </w:p>
    <w:p w14:paraId="57BB2850" w14:textId="0358C59A" w:rsidR="002C4DD2" w:rsidRPr="00694A55" w:rsidRDefault="002C4DD2" w:rsidP="00DA2C45">
      <w:pPr>
        <w:pStyle w:val="2"/>
        <w:numPr>
          <w:ilvl w:val="1"/>
          <w:numId w:val="1"/>
        </w:numPr>
        <w:spacing w:before="120" w:after="120"/>
        <w:jc w:val="both"/>
        <w:rPr>
          <w:rFonts w:ascii="Calibri" w:hAnsi="Calibri" w:cs="Calibri"/>
          <w:color w:val="002060"/>
        </w:rPr>
      </w:pPr>
      <w:bookmarkStart w:id="20" w:name="_Toc214271402"/>
      <w:r>
        <w:rPr>
          <w:rFonts w:ascii="Calibri" w:hAnsi="Calibri" w:cs="Calibri"/>
          <w:color w:val="002060"/>
        </w:rPr>
        <w:t>Σύνοψη</w:t>
      </w:r>
      <w:r w:rsidR="00E636C3">
        <w:rPr>
          <w:rFonts w:ascii="Calibri" w:hAnsi="Calibri" w:cs="Calibri"/>
          <w:color w:val="002060"/>
        </w:rPr>
        <w:t xml:space="preserve"> μέτρων </w:t>
      </w:r>
      <w:r w:rsidR="00264B7D">
        <w:rPr>
          <w:rFonts w:ascii="Calibri" w:hAnsi="Calibri" w:cs="Calibri"/>
          <w:color w:val="002060"/>
        </w:rPr>
        <w:t>και πολιτικών</w:t>
      </w:r>
      <w:bookmarkEnd w:id="20"/>
    </w:p>
    <w:p w14:paraId="4273C46E" w14:textId="219ADDCC" w:rsidR="0090708D" w:rsidRPr="00396EFD" w:rsidRDefault="00EF5C60" w:rsidP="00145415">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Από τ</w:t>
      </w:r>
      <w:r w:rsidR="001E315A">
        <w:rPr>
          <w:rFonts w:ascii="Calibri" w:hAnsi="Calibri" w:cs="Calibri"/>
          <w:sz w:val="22"/>
          <w:szCs w:val="22"/>
        </w:rPr>
        <w:t>ο γεγονός</w:t>
      </w:r>
      <w:r w:rsidR="001E315A" w:rsidRPr="00396EFD">
        <w:rPr>
          <w:rFonts w:ascii="Calibri" w:hAnsi="Calibri" w:cs="Calibri"/>
          <w:sz w:val="22"/>
          <w:szCs w:val="22"/>
        </w:rPr>
        <w:t xml:space="preserve"> </w:t>
      </w:r>
      <w:r w:rsidR="0090708D" w:rsidRPr="00396EFD">
        <w:rPr>
          <w:rFonts w:ascii="Calibri" w:hAnsi="Calibri" w:cs="Calibri"/>
          <w:sz w:val="22"/>
          <w:szCs w:val="22"/>
        </w:rPr>
        <w:t xml:space="preserve">ότι ο αριθμός των </w:t>
      </w:r>
      <w:r w:rsidR="001E315A">
        <w:rPr>
          <w:rFonts w:ascii="Calibri" w:hAnsi="Calibri" w:cs="Calibri"/>
          <w:sz w:val="22"/>
          <w:szCs w:val="22"/>
        </w:rPr>
        <w:t>ενεργειακά φτωχών</w:t>
      </w:r>
      <w:r w:rsidR="001E315A" w:rsidRPr="00396EFD">
        <w:rPr>
          <w:rFonts w:ascii="Calibri" w:hAnsi="Calibri" w:cs="Calibri"/>
          <w:sz w:val="22"/>
          <w:szCs w:val="22"/>
        </w:rPr>
        <w:t xml:space="preserve"> </w:t>
      </w:r>
      <w:r w:rsidR="0090708D" w:rsidRPr="00396EFD">
        <w:rPr>
          <w:rFonts w:ascii="Calibri" w:hAnsi="Calibri" w:cs="Calibri"/>
          <w:sz w:val="22"/>
          <w:szCs w:val="22"/>
        </w:rPr>
        <w:t xml:space="preserve">νοικοκυριών ανήλθε σε περίπου 546 χιλιάδες το έτος 2023 </w:t>
      </w:r>
      <w:r>
        <w:rPr>
          <w:rFonts w:ascii="Calibri" w:hAnsi="Calibri" w:cs="Calibri"/>
          <w:sz w:val="22"/>
          <w:szCs w:val="22"/>
        </w:rPr>
        <w:t>σε συνδυασμό με τους σχετικούς στόχους του ΕΣΕΚ προκύπτει</w:t>
      </w:r>
      <w:r w:rsidR="0090708D" w:rsidRPr="00396EFD">
        <w:rPr>
          <w:rFonts w:ascii="Calibri" w:hAnsi="Calibri" w:cs="Calibri"/>
          <w:sz w:val="22"/>
          <w:szCs w:val="22"/>
        </w:rPr>
        <w:t xml:space="preserve"> ότι τα σχεδιαζόμενα μέτρα και πολιτικές θα πρέπει να υποστηρίξουν 374 χιλιάδες νοικοκυριά </w:t>
      </w:r>
      <w:r w:rsidR="001E315A">
        <w:rPr>
          <w:rFonts w:ascii="Calibri" w:hAnsi="Calibri" w:cs="Calibri"/>
          <w:sz w:val="22"/>
          <w:szCs w:val="22"/>
        </w:rPr>
        <w:t>για</w:t>
      </w:r>
      <w:r w:rsidR="0090708D" w:rsidRPr="00396EFD">
        <w:rPr>
          <w:rFonts w:ascii="Calibri" w:hAnsi="Calibri" w:cs="Calibri"/>
          <w:sz w:val="22"/>
          <w:szCs w:val="22"/>
        </w:rPr>
        <w:t xml:space="preserve"> τη ριζική αντιμετώπιση της ενεργειακής ένδειας έως το έτος 2030.</w:t>
      </w:r>
    </w:p>
    <w:p w14:paraId="31B60AC5" w14:textId="35D934F9" w:rsidR="002C70FF" w:rsidRDefault="001E315A" w:rsidP="00145415">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Για την επίτευξη των στόχων για την αντιμετώπιση της ενεργειακής ένδειας, οι οποίοι τέθηκαν στο πλαίσιο του παρόντος Σχεδίου Δράσης, απαιτείται η</w:t>
      </w:r>
      <w:r w:rsidR="00DE097A">
        <w:rPr>
          <w:rFonts w:ascii="Calibri" w:hAnsi="Calibri" w:cs="Calibri"/>
          <w:sz w:val="22"/>
          <w:szCs w:val="22"/>
        </w:rPr>
        <w:t xml:space="preserve"> </w:t>
      </w:r>
      <w:r w:rsidR="002C70FF">
        <w:rPr>
          <w:rFonts w:ascii="Calibri" w:hAnsi="Calibri" w:cs="Calibri"/>
          <w:sz w:val="22"/>
          <w:szCs w:val="22"/>
        </w:rPr>
        <w:t xml:space="preserve">έγκαιρη και αποτελεσματική εφαρμογή των </w:t>
      </w:r>
      <w:r w:rsidR="00DE097A">
        <w:rPr>
          <w:rFonts w:ascii="Calibri" w:hAnsi="Calibri" w:cs="Calibri"/>
          <w:sz w:val="22"/>
          <w:szCs w:val="22"/>
        </w:rPr>
        <w:t>σχεδιαζόμενων</w:t>
      </w:r>
      <w:r w:rsidR="002C70FF">
        <w:rPr>
          <w:rFonts w:ascii="Calibri" w:hAnsi="Calibri" w:cs="Calibri"/>
          <w:sz w:val="22"/>
          <w:szCs w:val="22"/>
        </w:rPr>
        <w:t xml:space="preserve"> μέτρων </w:t>
      </w:r>
      <w:r w:rsidR="00DE097A">
        <w:rPr>
          <w:rFonts w:ascii="Calibri" w:hAnsi="Calibri" w:cs="Calibri"/>
          <w:sz w:val="22"/>
          <w:szCs w:val="22"/>
        </w:rPr>
        <w:t>και πολιτικών</w:t>
      </w:r>
      <w:r w:rsidR="00B97298">
        <w:rPr>
          <w:rFonts w:ascii="Calibri" w:hAnsi="Calibri" w:cs="Calibri"/>
          <w:sz w:val="22"/>
          <w:szCs w:val="22"/>
        </w:rPr>
        <w:t>, τα οποία συνοψίζονται στον Πίνακα 5</w:t>
      </w:r>
      <w:r w:rsidR="00CF4AF8">
        <w:rPr>
          <w:rFonts w:ascii="Calibri" w:hAnsi="Calibri" w:cs="Calibri"/>
          <w:sz w:val="22"/>
          <w:szCs w:val="22"/>
        </w:rPr>
        <w:t>.</w:t>
      </w:r>
      <w:r w:rsidR="00B97298">
        <w:rPr>
          <w:rFonts w:ascii="Calibri" w:hAnsi="Calibri" w:cs="Calibri"/>
          <w:sz w:val="22"/>
          <w:szCs w:val="22"/>
        </w:rPr>
        <w:t xml:space="preserve"> </w:t>
      </w:r>
    </w:p>
    <w:p w14:paraId="5E86C656" w14:textId="18DAF7FB" w:rsidR="00B93A13" w:rsidRPr="00400181" w:rsidRDefault="00B93A13" w:rsidP="00145415">
      <w:pPr>
        <w:pStyle w:val="Web"/>
        <w:spacing w:before="120" w:beforeAutospacing="0" w:after="120" w:afterAutospacing="0" w:line="276" w:lineRule="auto"/>
        <w:jc w:val="both"/>
        <w:rPr>
          <w:rFonts w:ascii="Calibri" w:hAnsi="Calibri" w:cs="Calibri"/>
          <w:sz w:val="22"/>
          <w:szCs w:val="22"/>
        </w:rPr>
      </w:pPr>
    </w:p>
    <w:p w14:paraId="4E23463F" w14:textId="134DA1CC" w:rsidR="002C4DD2" w:rsidRDefault="002C4DD2" w:rsidP="002C4DD2">
      <w:pPr>
        <w:pStyle w:val="a7"/>
        <w:keepNext/>
        <w:spacing w:after="240"/>
        <w:jc w:val="center"/>
        <w:rPr>
          <w:color w:val="auto"/>
          <w:sz w:val="22"/>
          <w:szCs w:val="22"/>
        </w:rPr>
      </w:pPr>
      <w:r w:rsidRPr="00863598">
        <w:rPr>
          <w:color w:val="auto"/>
          <w:sz w:val="22"/>
          <w:szCs w:val="22"/>
        </w:rPr>
        <w:lastRenderedPageBreak/>
        <w:t xml:space="preserve">Πίνακας </w:t>
      </w:r>
      <w:r w:rsidR="00B97298">
        <w:rPr>
          <w:color w:val="auto"/>
          <w:sz w:val="22"/>
          <w:szCs w:val="22"/>
        </w:rPr>
        <w:t>5</w:t>
      </w:r>
      <w:r w:rsidRPr="00863598">
        <w:rPr>
          <w:color w:val="auto"/>
          <w:sz w:val="22"/>
          <w:szCs w:val="22"/>
        </w:rPr>
        <w:t xml:space="preserve">: </w:t>
      </w:r>
      <w:r w:rsidR="00B70F73">
        <w:rPr>
          <w:color w:val="auto"/>
          <w:sz w:val="22"/>
          <w:szCs w:val="22"/>
        </w:rPr>
        <w:t>Σ</w:t>
      </w:r>
      <w:r>
        <w:rPr>
          <w:color w:val="auto"/>
          <w:sz w:val="22"/>
          <w:szCs w:val="22"/>
        </w:rPr>
        <w:t>χεδιαζόμεν</w:t>
      </w:r>
      <w:r w:rsidR="00B70F73">
        <w:rPr>
          <w:color w:val="auto"/>
          <w:sz w:val="22"/>
          <w:szCs w:val="22"/>
        </w:rPr>
        <w:t>α μέτρα έως το 2030</w:t>
      </w:r>
      <w:r w:rsidR="00B97298">
        <w:rPr>
          <w:color w:val="auto"/>
          <w:sz w:val="22"/>
          <w:szCs w:val="22"/>
        </w:rPr>
        <w:t xml:space="preserve"> για την αντιμετώπιση της ενεργειακής ένδειας</w:t>
      </w:r>
      <w:r w:rsidRPr="00863598">
        <w:rPr>
          <w:color w:val="auto"/>
          <w:sz w:val="22"/>
          <w:szCs w:val="22"/>
        </w:rPr>
        <w:t>.</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5"/>
        <w:gridCol w:w="3695"/>
      </w:tblGrid>
      <w:tr w:rsidR="00EB2FC5" w:rsidRPr="00723C7F" w14:paraId="572EAF58" w14:textId="77777777" w:rsidTr="007619D0">
        <w:trPr>
          <w:trHeight w:val="254"/>
          <w:tblHeader/>
          <w:jc w:val="center"/>
        </w:trPr>
        <w:tc>
          <w:tcPr>
            <w:tcW w:w="3955" w:type="dxa"/>
            <w:shd w:val="clear" w:color="auto" w:fill="B8CCE4"/>
            <w:noWrap/>
            <w:vAlign w:val="center"/>
          </w:tcPr>
          <w:p w14:paraId="3A4ABBB9" w14:textId="43E18824" w:rsidR="00EB2FC5" w:rsidRPr="00B70F73" w:rsidRDefault="00EB2FC5" w:rsidP="00B70F73">
            <w:pPr>
              <w:spacing w:before="120" w:after="120" w:line="240" w:lineRule="auto"/>
              <w:jc w:val="center"/>
              <w:rPr>
                <w:b/>
                <w:bCs/>
                <w:color w:val="000000"/>
                <w:lang w:eastAsia="el-GR"/>
              </w:rPr>
            </w:pPr>
            <w:r w:rsidRPr="00B70F73">
              <w:rPr>
                <w:b/>
                <w:bCs/>
                <w:color w:val="000000"/>
                <w:lang w:eastAsia="el-GR"/>
              </w:rPr>
              <w:t xml:space="preserve">Μέτρο </w:t>
            </w:r>
          </w:p>
        </w:tc>
        <w:tc>
          <w:tcPr>
            <w:tcW w:w="3695" w:type="dxa"/>
            <w:shd w:val="clear" w:color="auto" w:fill="B8CCE4"/>
            <w:noWrap/>
            <w:vAlign w:val="center"/>
          </w:tcPr>
          <w:p w14:paraId="60108411" w14:textId="4603BD7A" w:rsidR="00EB2FC5" w:rsidRPr="00B70F73" w:rsidRDefault="00EB2FC5" w:rsidP="00B70F73">
            <w:pPr>
              <w:spacing w:before="120" w:after="120" w:line="240" w:lineRule="auto"/>
              <w:jc w:val="center"/>
              <w:rPr>
                <w:b/>
                <w:bCs/>
                <w:color w:val="000000"/>
                <w:lang w:eastAsia="el-GR"/>
              </w:rPr>
            </w:pPr>
            <w:r w:rsidRPr="00B70F73">
              <w:rPr>
                <w:b/>
                <w:bCs/>
                <w:color w:val="000000"/>
                <w:lang w:eastAsia="el-GR"/>
              </w:rPr>
              <w:t>Αριθμός πληττόμενων νοικοκυριών</w:t>
            </w:r>
          </w:p>
        </w:tc>
      </w:tr>
      <w:tr w:rsidR="00EB2FC5" w:rsidRPr="00723C7F" w14:paraId="1285BF97" w14:textId="77777777" w:rsidTr="007619D0">
        <w:trPr>
          <w:trHeight w:val="467"/>
          <w:jc w:val="center"/>
        </w:trPr>
        <w:tc>
          <w:tcPr>
            <w:tcW w:w="3955" w:type="dxa"/>
            <w:shd w:val="clear" w:color="auto" w:fill="FFFFFF"/>
            <w:noWrap/>
            <w:vAlign w:val="center"/>
          </w:tcPr>
          <w:p w14:paraId="35099B4F" w14:textId="328F67AE" w:rsidR="00EB2FC5" w:rsidRPr="00B70F73" w:rsidRDefault="00EB2FC5" w:rsidP="00B70F73">
            <w:pPr>
              <w:spacing w:before="120" w:after="120" w:line="240" w:lineRule="auto"/>
              <w:jc w:val="center"/>
              <w:rPr>
                <w:b/>
                <w:bCs/>
                <w:color w:val="000000"/>
                <w:lang w:eastAsia="el-GR"/>
              </w:rPr>
            </w:pPr>
            <w:r w:rsidRPr="00B70F73">
              <w:rPr>
                <w:b/>
                <w:bCs/>
                <w:lang w:eastAsia="el-GR"/>
              </w:rPr>
              <w:t>Μ1. Σχήμα κοινωνικού τιμολογίου και μετριασμός επιπτώσεων από την κρίση του κόστους ενέργειας</w:t>
            </w:r>
          </w:p>
        </w:tc>
        <w:tc>
          <w:tcPr>
            <w:tcW w:w="3695" w:type="dxa"/>
            <w:shd w:val="clear" w:color="auto" w:fill="FFFFFF"/>
            <w:noWrap/>
            <w:vAlign w:val="center"/>
          </w:tcPr>
          <w:p w14:paraId="4C980575" w14:textId="74875156" w:rsidR="00EB2FC5" w:rsidRPr="00B70F73" w:rsidRDefault="00EB2FC5" w:rsidP="00B70F73">
            <w:pPr>
              <w:spacing w:before="120" w:after="120" w:line="240" w:lineRule="auto"/>
              <w:jc w:val="center"/>
              <w:rPr>
                <w:color w:val="000000"/>
              </w:rPr>
            </w:pPr>
            <w:r>
              <w:rPr>
                <w:color w:val="000000"/>
              </w:rPr>
              <w:t>133 χιλ.</w:t>
            </w:r>
          </w:p>
        </w:tc>
      </w:tr>
      <w:tr w:rsidR="00EB2FC5" w:rsidRPr="00723C7F" w14:paraId="46896261" w14:textId="77777777" w:rsidTr="007619D0">
        <w:trPr>
          <w:trHeight w:val="254"/>
          <w:jc w:val="center"/>
        </w:trPr>
        <w:tc>
          <w:tcPr>
            <w:tcW w:w="3955" w:type="dxa"/>
            <w:shd w:val="clear" w:color="auto" w:fill="FFFFFF"/>
            <w:noWrap/>
            <w:vAlign w:val="center"/>
          </w:tcPr>
          <w:p w14:paraId="4F695A4D" w14:textId="42895E58" w:rsidR="00EB2FC5" w:rsidRPr="00B70F73" w:rsidRDefault="00EB2FC5" w:rsidP="00B70F73">
            <w:pPr>
              <w:spacing w:before="120" w:after="120" w:line="240" w:lineRule="auto"/>
              <w:jc w:val="center"/>
              <w:rPr>
                <w:b/>
                <w:bCs/>
                <w:color w:val="000000"/>
                <w:lang w:eastAsia="el-GR"/>
              </w:rPr>
            </w:pPr>
            <w:r w:rsidRPr="00B70F73">
              <w:rPr>
                <w:b/>
                <w:bCs/>
                <w:lang w:eastAsia="el-GR"/>
              </w:rPr>
              <w:t>Μ2. Δέσμη κανονιστικών μέτρων για την προστασία των πληττόμενων νοικοκυριών</w:t>
            </w:r>
          </w:p>
        </w:tc>
        <w:tc>
          <w:tcPr>
            <w:tcW w:w="3695" w:type="dxa"/>
            <w:shd w:val="clear" w:color="auto" w:fill="FFFFFF"/>
            <w:noWrap/>
            <w:vAlign w:val="center"/>
          </w:tcPr>
          <w:p w14:paraId="17BA22B4" w14:textId="59C083CE" w:rsidR="00EB2FC5" w:rsidRPr="00B70F73" w:rsidRDefault="00EB2FC5" w:rsidP="00B70F73">
            <w:pPr>
              <w:spacing w:before="120" w:after="120" w:line="240" w:lineRule="auto"/>
              <w:jc w:val="center"/>
              <w:rPr>
                <w:rFonts w:asciiTheme="minorHAnsi" w:hAnsiTheme="minorHAnsi" w:cstheme="minorHAnsi"/>
                <w:b/>
                <w:bCs/>
                <w:color w:val="202124"/>
                <w:shd w:val="clear" w:color="auto" w:fill="FFFFFF"/>
              </w:rPr>
            </w:pPr>
            <w:r>
              <w:rPr>
                <w:color w:val="000000"/>
              </w:rPr>
              <w:t>40 χιλ.</w:t>
            </w:r>
          </w:p>
        </w:tc>
      </w:tr>
      <w:tr w:rsidR="00EB2FC5" w:rsidRPr="00723C7F" w14:paraId="7B2A3D27" w14:textId="77777777" w:rsidTr="007619D0">
        <w:trPr>
          <w:trHeight w:val="254"/>
          <w:jc w:val="center"/>
        </w:trPr>
        <w:tc>
          <w:tcPr>
            <w:tcW w:w="3955" w:type="dxa"/>
            <w:shd w:val="clear" w:color="auto" w:fill="FFFFFF"/>
            <w:noWrap/>
            <w:vAlign w:val="center"/>
          </w:tcPr>
          <w:p w14:paraId="75B94446" w14:textId="2A90DCC6" w:rsidR="00EB2FC5" w:rsidRPr="00B70F73" w:rsidRDefault="00EB2FC5" w:rsidP="00B70F73">
            <w:pPr>
              <w:spacing w:before="120" w:after="120" w:line="240" w:lineRule="auto"/>
              <w:jc w:val="center"/>
              <w:rPr>
                <w:b/>
                <w:bCs/>
                <w:color w:val="000000"/>
                <w:lang w:eastAsia="el-GR"/>
              </w:rPr>
            </w:pPr>
            <w:r w:rsidRPr="00B70F73">
              <w:rPr>
                <w:b/>
                <w:bCs/>
                <w:lang w:eastAsia="el-GR"/>
              </w:rPr>
              <w:t xml:space="preserve">Μ3. Ενεργειακή αναβάθμιση κτιρίων κατοικίας των πληττόμενων νοικοκυριών και προώθηση εγκατάστασης σταθμών ΑΠΕ για την κάλυψη των ενεργειακών αναγκών </w:t>
            </w:r>
            <w:r>
              <w:rPr>
                <w:b/>
                <w:bCs/>
                <w:lang w:eastAsia="el-GR"/>
              </w:rPr>
              <w:t>τους</w:t>
            </w:r>
          </w:p>
        </w:tc>
        <w:tc>
          <w:tcPr>
            <w:tcW w:w="3695" w:type="dxa"/>
            <w:shd w:val="clear" w:color="auto" w:fill="FFFFFF"/>
            <w:noWrap/>
            <w:vAlign w:val="center"/>
          </w:tcPr>
          <w:p w14:paraId="5F7D15FB" w14:textId="5E0B1D46" w:rsidR="00EB2FC5" w:rsidRPr="00B70F73" w:rsidRDefault="00EB2FC5" w:rsidP="00DE097A">
            <w:pPr>
              <w:spacing w:before="120" w:after="120" w:line="240" w:lineRule="auto"/>
              <w:jc w:val="center"/>
              <w:rPr>
                <w:rFonts w:asciiTheme="minorHAnsi" w:hAnsiTheme="minorHAnsi" w:cstheme="minorHAnsi"/>
                <w:b/>
                <w:bCs/>
                <w:color w:val="202124"/>
                <w:shd w:val="clear" w:color="auto" w:fill="FFFFFF"/>
              </w:rPr>
            </w:pPr>
            <w:r>
              <w:rPr>
                <w:color w:val="000000"/>
              </w:rPr>
              <w:t>120 χιλ. για συνδυασμό παρεμβάσεων στο κέλυφος και εγκατάσταση συστήματος θέρμανσης/ψύξης και 150 χιλ. για εγκατάσταση συστήματος θέρμανσης/ψύξης</w:t>
            </w:r>
          </w:p>
        </w:tc>
      </w:tr>
      <w:tr w:rsidR="00EB2FC5" w:rsidRPr="00723C7F" w14:paraId="3251022A" w14:textId="77777777" w:rsidTr="007619D0">
        <w:trPr>
          <w:trHeight w:val="254"/>
          <w:jc w:val="center"/>
        </w:trPr>
        <w:tc>
          <w:tcPr>
            <w:tcW w:w="3955" w:type="dxa"/>
            <w:shd w:val="clear" w:color="auto" w:fill="FFFFFF"/>
            <w:noWrap/>
            <w:vAlign w:val="center"/>
          </w:tcPr>
          <w:p w14:paraId="176645E6" w14:textId="6C72E907" w:rsidR="00EB2FC5" w:rsidRPr="00B70F73" w:rsidRDefault="00EB2FC5" w:rsidP="00B70F73">
            <w:pPr>
              <w:spacing w:before="120" w:after="120" w:line="240" w:lineRule="auto"/>
              <w:jc w:val="center"/>
              <w:rPr>
                <w:b/>
                <w:bCs/>
                <w:color w:val="000000"/>
                <w:lang w:eastAsia="el-GR"/>
              </w:rPr>
            </w:pPr>
            <w:r w:rsidRPr="00B70F73">
              <w:rPr>
                <w:b/>
                <w:bCs/>
              </w:rPr>
              <w:t>Μ</w:t>
            </w:r>
            <w:r w:rsidR="00277E6F">
              <w:rPr>
                <w:b/>
                <w:bCs/>
              </w:rPr>
              <w:t>4</w:t>
            </w:r>
            <w:r w:rsidRPr="00B70F73">
              <w:rPr>
                <w:b/>
                <w:bCs/>
              </w:rPr>
              <w:t>. Αξιοποίηση του θεσμού Κοινοτήτων Ανανεώσιμης Ενέργειας και Κοινοτήτων Πολιτών για την αντιμετώπιση της ενεργειακής ένδειας</w:t>
            </w:r>
          </w:p>
        </w:tc>
        <w:tc>
          <w:tcPr>
            <w:tcW w:w="3695" w:type="dxa"/>
            <w:shd w:val="clear" w:color="auto" w:fill="FFFFFF"/>
            <w:noWrap/>
            <w:vAlign w:val="center"/>
          </w:tcPr>
          <w:p w14:paraId="49944A6B" w14:textId="22636489" w:rsidR="00EB2FC5" w:rsidRPr="00B70F73" w:rsidRDefault="00EB2FC5" w:rsidP="00B70F73">
            <w:pPr>
              <w:spacing w:before="120" w:after="120" w:line="240" w:lineRule="auto"/>
              <w:jc w:val="center"/>
              <w:rPr>
                <w:rFonts w:asciiTheme="minorHAnsi" w:hAnsiTheme="minorHAnsi" w:cstheme="minorHAnsi"/>
                <w:b/>
                <w:bCs/>
                <w:color w:val="202124"/>
                <w:shd w:val="clear" w:color="auto" w:fill="FFFFFF"/>
              </w:rPr>
            </w:pPr>
            <w:r>
              <w:rPr>
                <w:color w:val="000000"/>
              </w:rPr>
              <w:t>24 χιλ. για συνδυασμό παρεμβάσεων στο κέλυφος και εγκατάσταση συστήματος θέρμανσης/ψύξης</w:t>
            </w:r>
          </w:p>
        </w:tc>
      </w:tr>
      <w:tr w:rsidR="00277E6F" w:rsidRPr="00723C7F" w14:paraId="7B1EB085" w14:textId="77777777" w:rsidTr="007619D0">
        <w:trPr>
          <w:trHeight w:val="254"/>
          <w:jc w:val="center"/>
        </w:trPr>
        <w:tc>
          <w:tcPr>
            <w:tcW w:w="3955" w:type="dxa"/>
            <w:shd w:val="clear" w:color="auto" w:fill="FFFFFF"/>
            <w:noWrap/>
            <w:vAlign w:val="center"/>
          </w:tcPr>
          <w:p w14:paraId="6A6EB9BF" w14:textId="584EAA4B" w:rsidR="00277E6F" w:rsidRPr="00B70F73" w:rsidRDefault="00277E6F" w:rsidP="00F13C7F">
            <w:pPr>
              <w:spacing w:before="120" w:after="120" w:line="240" w:lineRule="auto"/>
              <w:jc w:val="center"/>
              <w:rPr>
                <w:b/>
                <w:bCs/>
              </w:rPr>
            </w:pPr>
            <w:r w:rsidRPr="00277E6F">
              <w:rPr>
                <w:b/>
                <w:bCs/>
              </w:rPr>
              <w:t>Μ</w:t>
            </w:r>
            <w:r>
              <w:rPr>
                <w:b/>
                <w:bCs/>
              </w:rPr>
              <w:t>5</w:t>
            </w:r>
            <w:r w:rsidRPr="00277E6F">
              <w:rPr>
                <w:b/>
                <w:bCs/>
              </w:rPr>
              <w:t>. Καινοτόμα χρηματοδοτικά εργαλεία για την υλοποίηση δράσεων βελτίωσης της ενεργειακής απόδοσης σε ενεργειακά φτωχά νοικοκυριά</w:t>
            </w:r>
          </w:p>
        </w:tc>
        <w:tc>
          <w:tcPr>
            <w:tcW w:w="3695" w:type="dxa"/>
            <w:shd w:val="clear" w:color="auto" w:fill="FFFFFF"/>
            <w:noWrap/>
            <w:vAlign w:val="center"/>
          </w:tcPr>
          <w:p w14:paraId="34D8C588" w14:textId="2A7FC5F7" w:rsidR="00277E6F" w:rsidRDefault="00277E6F" w:rsidP="00B70F73">
            <w:pPr>
              <w:spacing w:before="120" w:after="120" w:line="240" w:lineRule="auto"/>
              <w:jc w:val="center"/>
              <w:rPr>
                <w:color w:val="000000"/>
              </w:rPr>
            </w:pPr>
            <w:r w:rsidRPr="00277E6F">
              <w:rPr>
                <w:color w:val="000000"/>
              </w:rPr>
              <w:t>50 χιλ. για συνδυασμό παρεμβάσεων στο κέλυφος και εγκατάσταση συστήματος θέρμανσης/ψύξης</w:t>
            </w:r>
          </w:p>
        </w:tc>
      </w:tr>
      <w:tr w:rsidR="00AC7E56" w:rsidRPr="00723C7F" w14:paraId="6B26D940" w14:textId="77777777" w:rsidTr="007619D0">
        <w:trPr>
          <w:trHeight w:val="254"/>
          <w:jc w:val="center"/>
        </w:trPr>
        <w:tc>
          <w:tcPr>
            <w:tcW w:w="3955" w:type="dxa"/>
            <w:shd w:val="clear" w:color="auto" w:fill="FFFFFF"/>
            <w:noWrap/>
            <w:vAlign w:val="center"/>
          </w:tcPr>
          <w:p w14:paraId="7171881F" w14:textId="03229ADC" w:rsidR="00AC7E56" w:rsidRPr="00B70F73" w:rsidRDefault="00277E6F" w:rsidP="00F13C7F">
            <w:pPr>
              <w:spacing w:before="120" w:after="120" w:line="240" w:lineRule="auto"/>
              <w:jc w:val="center"/>
              <w:rPr>
                <w:b/>
                <w:bCs/>
              </w:rPr>
            </w:pPr>
            <w:r>
              <w:rPr>
                <w:b/>
                <w:bCs/>
              </w:rPr>
              <w:t xml:space="preserve">Μ6. </w:t>
            </w:r>
            <w:r w:rsidRPr="00277E6F">
              <w:rPr>
                <w:b/>
                <w:bCs/>
              </w:rPr>
              <w:t>Διενέργεια δράσεων ενημέρωσης και εκπαίδευσης</w:t>
            </w:r>
          </w:p>
        </w:tc>
        <w:tc>
          <w:tcPr>
            <w:tcW w:w="3695" w:type="dxa"/>
            <w:shd w:val="clear" w:color="auto" w:fill="FFFFFF"/>
            <w:noWrap/>
            <w:vAlign w:val="center"/>
          </w:tcPr>
          <w:p w14:paraId="2B80115D" w14:textId="6C7464BF" w:rsidR="00AC7E56" w:rsidRDefault="00277E6F" w:rsidP="00B70F73">
            <w:pPr>
              <w:spacing w:before="120" w:after="120" w:line="240" w:lineRule="auto"/>
              <w:jc w:val="center"/>
              <w:rPr>
                <w:color w:val="000000"/>
              </w:rPr>
            </w:pPr>
            <w:r w:rsidRPr="00277E6F">
              <w:rPr>
                <w:color w:val="000000"/>
              </w:rPr>
              <w:t>374 χιλ.</w:t>
            </w:r>
          </w:p>
        </w:tc>
      </w:tr>
      <w:tr w:rsidR="00277E6F" w:rsidRPr="00723C7F" w14:paraId="549C29C0" w14:textId="77777777" w:rsidTr="007619D0">
        <w:trPr>
          <w:trHeight w:val="254"/>
          <w:jc w:val="center"/>
        </w:trPr>
        <w:tc>
          <w:tcPr>
            <w:tcW w:w="3955" w:type="dxa"/>
            <w:shd w:val="clear" w:color="auto" w:fill="FFFFFF"/>
            <w:noWrap/>
            <w:vAlign w:val="center"/>
          </w:tcPr>
          <w:p w14:paraId="2BCB82AF" w14:textId="2854B30C" w:rsidR="00277E6F" w:rsidRPr="00B70F73" w:rsidRDefault="00277E6F" w:rsidP="00B70F73">
            <w:pPr>
              <w:spacing w:before="120" w:after="120" w:line="240" w:lineRule="auto"/>
              <w:jc w:val="center"/>
              <w:rPr>
                <w:b/>
                <w:bCs/>
                <w:color w:val="000000"/>
                <w:lang w:eastAsia="el-GR"/>
              </w:rPr>
            </w:pPr>
            <w:r w:rsidRPr="00B70F73">
              <w:rPr>
                <w:b/>
                <w:bCs/>
              </w:rPr>
              <w:t>Μ</w:t>
            </w:r>
            <w:r>
              <w:rPr>
                <w:b/>
                <w:bCs/>
              </w:rPr>
              <w:t>7</w:t>
            </w:r>
            <w:r w:rsidRPr="00B70F73">
              <w:rPr>
                <w:b/>
                <w:bCs/>
              </w:rPr>
              <w:t>. Ίδρυση Υπηρεσιών Μιας Στάσης</w:t>
            </w:r>
          </w:p>
        </w:tc>
        <w:tc>
          <w:tcPr>
            <w:tcW w:w="3695" w:type="dxa"/>
            <w:shd w:val="clear" w:color="auto" w:fill="FFFFFF"/>
            <w:noWrap/>
            <w:vAlign w:val="center"/>
          </w:tcPr>
          <w:p w14:paraId="39614360" w14:textId="76D1954F" w:rsidR="00277E6F" w:rsidRPr="00B70F73" w:rsidRDefault="00277E6F" w:rsidP="00B70F73">
            <w:pPr>
              <w:spacing w:before="120" w:after="120" w:line="240" w:lineRule="auto"/>
              <w:jc w:val="center"/>
              <w:rPr>
                <w:rFonts w:asciiTheme="minorHAnsi" w:hAnsiTheme="minorHAnsi" w:cstheme="minorHAnsi"/>
                <w:b/>
                <w:bCs/>
                <w:color w:val="202124"/>
                <w:shd w:val="clear" w:color="auto" w:fill="FFFFFF"/>
              </w:rPr>
            </w:pPr>
            <w:r>
              <w:rPr>
                <w:color w:val="000000"/>
              </w:rPr>
              <w:t>374 χιλ.</w:t>
            </w:r>
          </w:p>
        </w:tc>
      </w:tr>
    </w:tbl>
    <w:p w14:paraId="7231D76F" w14:textId="77777777" w:rsidR="002C4DD2" w:rsidRDefault="002C4DD2" w:rsidP="002C4DD2">
      <w:pPr>
        <w:spacing w:before="120" w:after="120"/>
        <w:jc w:val="both"/>
      </w:pPr>
    </w:p>
    <w:p w14:paraId="31B60AC8" w14:textId="144F0AC5" w:rsidR="002C70FF" w:rsidRDefault="002C70FF" w:rsidP="00DA2C45">
      <w:pPr>
        <w:pStyle w:val="2"/>
        <w:numPr>
          <w:ilvl w:val="1"/>
          <w:numId w:val="1"/>
        </w:numPr>
        <w:spacing w:before="120" w:after="120"/>
        <w:jc w:val="both"/>
        <w:rPr>
          <w:rFonts w:ascii="Calibri" w:hAnsi="Calibri" w:cs="Calibri"/>
          <w:color w:val="002060"/>
        </w:rPr>
      </w:pPr>
      <w:bookmarkStart w:id="21" w:name="_Toc100220117"/>
      <w:bookmarkStart w:id="22" w:name="_Toc100220193"/>
      <w:bookmarkStart w:id="23" w:name="_Toc100223613"/>
      <w:bookmarkStart w:id="24" w:name="_Toc100225712"/>
      <w:bookmarkStart w:id="25" w:name="_Toc214271403"/>
      <w:bookmarkEnd w:id="21"/>
      <w:bookmarkEnd w:id="22"/>
      <w:bookmarkEnd w:id="23"/>
      <w:bookmarkEnd w:id="24"/>
      <w:r>
        <w:rPr>
          <w:rFonts w:ascii="Calibri" w:hAnsi="Calibri" w:cs="Calibri"/>
          <w:color w:val="002060"/>
        </w:rPr>
        <w:t xml:space="preserve">Προϋποθέσεις για την αποτελεσματική υλοποίηση των </w:t>
      </w:r>
      <w:r w:rsidR="00264B7D">
        <w:rPr>
          <w:rFonts w:ascii="Calibri" w:hAnsi="Calibri" w:cs="Calibri"/>
          <w:color w:val="002060"/>
        </w:rPr>
        <w:t xml:space="preserve">επιλεγμένων </w:t>
      </w:r>
      <w:r>
        <w:rPr>
          <w:rFonts w:ascii="Calibri" w:hAnsi="Calibri" w:cs="Calibri"/>
          <w:color w:val="002060"/>
        </w:rPr>
        <w:t>μέτρων</w:t>
      </w:r>
      <w:bookmarkEnd w:id="25"/>
    </w:p>
    <w:p w14:paraId="31B60AC9" w14:textId="00182B5F" w:rsidR="002C70FF" w:rsidRDefault="002C70FF" w:rsidP="00A5273F">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Η υλοποίηση των προβλεπόμενων μέτρων προϋποθέτει την εμπλοκή διαφόρων φορέων και αρχών, οι οποίοι απεικονίζονται στο Διάγραμμα </w:t>
      </w:r>
      <w:r w:rsidR="00F027FB">
        <w:rPr>
          <w:rFonts w:ascii="Calibri" w:hAnsi="Calibri" w:cs="Calibri"/>
          <w:sz w:val="22"/>
          <w:szCs w:val="22"/>
        </w:rPr>
        <w:t>8</w:t>
      </w:r>
      <w:r>
        <w:rPr>
          <w:rFonts w:ascii="Calibri" w:hAnsi="Calibri" w:cs="Calibri"/>
          <w:sz w:val="22"/>
          <w:szCs w:val="22"/>
        </w:rPr>
        <w:t>, με αποτέλεσμα να καθίσταται επιτακτική η ανάπτυξη ενός μηχανισμού διακυβέρνησης, ο οποίος θα διευκολύνει την επικοινωνία και συνεργασία των εμπλεκομένων φορέων.</w:t>
      </w:r>
    </w:p>
    <w:p w14:paraId="31B60ACA" w14:textId="07597326" w:rsidR="002C70FF" w:rsidRDefault="002C70FF" w:rsidP="001562E4">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Η συνεργασία των συγκεκριμένων φορέων είναι κρίσιμη για τον εντοπισμό των πληττόμενων νοικοκυριών, τη διευκόλυνση της συμμετοχής των πληττόμενων νοικοκυριών στα σχεδιαζόμενα μέτρα πολιτικής και στη συλλογή των απαραίτητων δεδομένων για την αποτίμηση</w:t>
      </w:r>
      <w:r w:rsidR="001E315A">
        <w:rPr>
          <w:rFonts w:ascii="Calibri" w:hAnsi="Calibri" w:cs="Calibri"/>
          <w:sz w:val="22"/>
          <w:szCs w:val="22"/>
        </w:rPr>
        <w:t>,</w:t>
      </w:r>
      <w:r>
        <w:rPr>
          <w:rFonts w:ascii="Calibri" w:hAnsi="Calibri" w:cs="Calibri"/>
          <w:sz w:val="22"/>
          <w:szCs w:val="22"/>
        </w:rPr>
        <w:t xml:space="preserve"> τόσο των υλοποιηθέντων μέτρων, όσο και </w:t>
      </w:r>
      <w:r w:rsidR="001E315A">
        <w:rPr>
          <w:rFonts w:ascii="Calibri" w:hAnsi="Calibri" w:cs="Calibri"/>
          <w:sz w:val="22"/>
          <w:szCs w:val="22"/>
        </w:rPr>
        <w:t>της</w:t>
      </w:r>
      <w:r>
        <w:rPr>
          <w:rFonts w:ascii="Calibri" w:hAnsi="Calibri" w:cs="Calibri"/>
          <w:sz w:val="22"/>
          <w:szCs w:val="22"/>
        </w:rPr>
        <w:t xml:space="preserve"> εξέλιξη</w:t>
      </w:r>
      <w:r w:rsidR="001E315A">
        <w:rPr>
          <w:rFonts w:ascii="Calibri" w:hAnsi="Calibri" w:cs="Calibri"/>
          <w:sz w:val="22"/>
          <w:szCs w:val="22"/>
        </w:rPr>
        <w:t>ς</w:t>
      </w:r>
      <w:r>
        <w:rPr>
          <w:rFonts w:ascii="Calibri" w:hAnsi="Calibri" w:cs="Calibri"/>
          <w:sz w:val="22"/>
          <w:szCs w:val="22"/>
        </w:rPr>
        <w:t xml:space="preserve"> του φαινομένου της ενεργειακής ένδειας σε εθνικό και περιφερειακό επίπεδο.</w:t>
      </w:r>
    </w:p>
    <w:p w14:paraId="032AFD3D" w14:textId="4D8971AA" w:rsidR="00736637" w:rsidRDefault="00276C05" w:rsidP="007F5184">
      <w:pPr>
        <w:pStyle w:val="Web"/>
        <w:spacing w:before="120" w:beforeAutospacing="0" w:after="120" w:afterAutospacing="0" w:line="360" w:lineRule="auto"/>
        <w:jc w:val="center"/>
        <w:rPr>
          <w:rFonts w:ascii="Calibri" w:hAnsi="Calibri" w:cs="Calibri"/>
          <w:sz w:val="22"/>
          <w:szCs w:val="22"/>
        </w:rPr>
      </w:pPr>
      <w:r>
        <w:rPr>
          <w:rFonts w:ascii="Calibri" w:hAnsi="Calibri" w:cs="Calibri"/>
          <w:noProof/>
          <w:sz w:val="22"/>
          <w:szCs w:val="22"/>
        </w:rPr>
        <w:lastRenderedPageBreak/>
        <w:drawing>
          <wp:inline distT="0" distB="0" distL="0" distR="0" wp14:anchorId="08745EE8" wp14:editId="4888FAF7">
            <wp:extent cx="4937760" cy="3924638"/>
            <wp:effectExtent l="0" t="0" r="0" b="0"/>
            <wp:docPr id="9" name="Διάγραμμα 2"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Διάγραμμα 2" descr="A blue square with white text&#10;&#10;AI-generated content may be incorrect."/>
                    <pic:cNvPicPr>
                      <a:picLocks noChangeAspect="1" noChangeArrowheads="1"/>
                    </pic:cNvPicPr>
                  </pic:nvPicPr>
                  <pic:blipFill>
                    <a:blip r:embed="rId39"/>
                    <a:srcRect/>
                    <a:stretch>
                      <a:fillRect/>
                    </a:stretch>
                  </pic:blipFill>
                  <pic:spPr bwMode="auto">
                    <a:xfrm>
                      <a:off x="0" y="0"/>
                      <a:ext cx="4937760" cy="3924638"/>
                    </a:xfrm>
                    <a:prstGeom prst="rect">
                      <a:avLst/>
                    </a:prstGeom>
                    <a:noFill/>
                    <a:ln w="9525">
                      <a:noFill/>
                      <a:miter lim="800000"/>
                      <a:headEnd/>
                      <a:tailEnd/>
                    </a:ln>
                  </pic:spPr>
                </pic:pic>
              </a:graphicData>
            </a:graphic>
          </wp:inline>
        </w:drawing>
      </w:r>
    </w:p>
    <w:p w14:paraId="31B60ACD" w14:textId="1B25FC74" w:rsidR="002C70FF" w:rsidRPr="007452FE" w:rsidRDefault="002C70FF" w:rsidP="00145415">
      <w:pPr>
        <w:pStyle w:val="Web"/>
        <w:spacing w:before="120" w:beforeAutospacing="0" w:after="120" w:afterAutospacing="0" w:line="276" w:lineRule="auto"/>
        <w:jc w:val="center"/>
        <w:rPr>
          <w:rFonts w:ascii="Calibri" w:hAnsi="Calibri" w:cs="Calibri"/>
          <w:b/>
          <w:bCs/>
          <w:sz w:val="22"/>
          <w:szCs w:val="22"/>
          <w:lang w:eastAsia="en-US"/>
        </w:rPr>
      </w:pPr>
      <w:r w:rsidRPr="009B3102">
        <w:rPr>
          <w:rFonts w:ascii="Calibri" w:hAnsi="Calibri" w:cs="Calibri"/>
          <w:b/>
          <w:bCs/>
          <w:sz w:val="22"/>
          <w:szCs w:val="22"/>
          <w:lang w:eastAsia="en-US"/>
        </w:rPr>
        <w:t xml:space="preserve">Διάγραμμα </w:t>
      </w:r>
      <w:r w:rsidR="007D1663" w:rsidRPr="009B3102">
        <w:rPr>
          <w:rFonts w:ascii="Calibri" w:hAnsi="Calibri" w:cs="Calibri"/>
          <w:b/>
          <w:bCs/>
          <w:sz w:val="22"/>
          <w:szCs w:val="22"/>
          <w:lang w:eastAsia="en-US"/>
        </w:rPr>
        <w:fldChar w:fldCharType="begin"/>
      </w:r>
      <w:r w:rsidRPr="009B3102">
        <w:rPr>
          <w:rFonts w:ascii="Calibri" w:hAnsi="Calibri" w:cs="Calibri"/>
          <w:b/>
          <w:bCs/>
          <w:sz w:val="22"/>
          <w:szCs w:val="22"/>
          <w:lang w:eastAsia="en-US"/>
        </w:rPr>
        <w:instrText xml:space="preserve"> SEQ Figure \* ARABIC </w:instrText>
      </w:r>
      <w:r w:rsidR="007D1663" w:rsidRPr="009B3102">
        <w:rPr>
          <w:rFonts w:ascii="Calibri" w:hAnsi="Calibri" w:cs="Calibri"/>
          <w:b/>
          <w:bCs/>
          <w:sz w:val="22"/>
          <w:szCs w:val="22"/>
          <w:lang w:eastAsia="en-US"/>
        </w:rPr>
        <w:fldChar w:fldCharType="separate"/>
      </w:r>
      <w:r w:rsidR="00D51C80">
        <w:rPr>
          <w:rFonts w:ascii="Calibri" w:hAnsi="Calibri" w:cs="Calibri"/>
          <w:b/>
          <w:bCs/>
          <w:noProof/>
          <w:sz w:val="22"/>
          <w:szCs w:val="22"/>
          <w:lang w:eastAsia="en-US"/>
        </w:rPr>
        <w:t>8</w:t>
      </w:r>
      <w:r w:rsidR="007D1663" w:rsidRPr="009B3102">
        <w:rPr>
          <w:rFonts w:ascii="Calibri" w:hAnsi="Calibri" w:cs="Calibri"/>
          <w:b/>
          <w:bCs/>
          <w:sz w:val="22"/>
          <w:szCs w:val="22"/>
          <w:lang w:eastAsia="en-US"/>
        </w:rPr>
        <w:fldChar w:fldCharType="end"/>
      </w:r>
      <w:r w:rsidRPr="009B3102">
        <w:rPr>
          <w:rFonts w:ascii="Calibri" w:hAnsi="Calibri" w:cs="Calibri"/>
          <w:b/>
          <w:bCs/>
          <w:sz w:val="22"/>
          <w:szCs w:val="22"/>
          <w:lang w:eastAsia="en-US"/>
        </w:rPr>
        <w:t>:</w:t>
      </w:r>
      <w:r>
        <w:rPr>
          <w:rFonts w:ascii="Calibri" w:hAnsi="Calibri" w:cs="Calibri"/>
          <w:b/>
          <w:bCs/>
          <w:sz w:val="22"/>
          <w:szCs w:val="22"/>
          <w:lang w:eastAsia="en-US"/>
        </w:rPr>
        <w:t xml:space="preserve"> Εμπλεκόμενοι φορείς στην υλοποίηση των </w:t>
      </w:r>
      <w:r w:rsidR="00264B7D">
        <w:rPr>
          <w:rFonts w:ascii="Calibri" w:hAnsi="Calibri" w:cs="Calibri"/>
          <w:b/>
          <w:bCs/>
          <w:sz w:val="22"/>
          <w:szCs w:val="22"/>
          <w:lang w:eastAsia="en-US"/>
        </w:rPr>
        <w:t xml:space="preserve">επιλεγμένων </w:t>
      </w:r>
      <w:r>
        <w:rPr>
          <w:rFonts w:ascii="Calibri" w:hAnsi="Calibri" w:cs="Calibri"/>
          <w:b/>
          <w:bCs/>
          <w:sz w:val="22"/>
          <w:szCs w:val="22"/>
          <w:lang w:eastAsia="en-US"/>
        </w:rPr>
        <w:t>μέτρων.</w:t>
      </w:r>
    </w:p>
    <w:p w14:paraId="31B60ACE" w14:textId="77777777" w:rsidR="002C70FF" w:rsidRDefault="002C70FF" w:rsidP="00A5273F">
      <w:pPr>
        <w:pStyle w:val="Web"/>
        <w:spacing w:before="120" w:beforeAutospacing="0" w:after="120" w:afterAutospacing="0" w:line="276" w:lineRule="auto"/>
        <w:jc w:val="both"/>
        <w:rPr>
          <w:rFonts w:ascii="Calibri" w:hAnsi="Calibri" w:cs="Calibri"/>
          <w:sz w:val="22"/>
          <w:szCs w:val="22"/>
        </w:rPr>
      </w:pPr>
    </w:p>
    <w:p w14:paraId="31B60AD0" w14:textId="4359F071" w:rsidR="002C70FF" w:rsidRDefault="002C70FF" w:rsidP="00BC34C1">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Η έγκαιρη εξεύρεση των </w:t>
      </w:r>
      <w:r w:rsidR="002351BB">
        <w:rPr>
          <w:rFonts w:ascii="Calibri" w:hAnsi="Calibri" w:cs="Calibri"/>
          <w:sz w:val="22"/>
          <w:szCs w:val="22"/>
        </w:rPr>
        <w:t xml:space="preserve">απαιτούμενων </w:t>
      </w:r>
      <w:r>
        <w:rPr>
          <w:rFonts w:ascii="Calibri" w:hAnsi="Calibri" w:cs="Calibri"/>
          <w:sz w:val="22"/>
          <w:szCs w:val="22"/>
        </w:rPr>
        <w:t>πόρων για την κάλυψη της απαιτούμενης δημόσιας δαπάνης είναι απαραίτητη προϋπόθεση για την επιτυχία του συγκεκριμένου εγχειρήματος, ενώ η κάλυψη των ιδίων κεφαλαίων από τα πληττόμενα νοικοκυριά αποτελεί έναν παράγοντα αβεβαιότητας.</w:t>
      </w:r>
    </w:p>
    <w:p w14:paraId="31B60AD1" w14:textId="61F29C97" w:rsidR="002C70FF" w:rsidRDefault="00BC34C1" w:rsidP="00DA2C45">
      <w:pPr>
        <w:pStyle w:val="Web"/>
        <w:spacing w:before="120" w:beforeAutospacing="0" w:after="120" w:afterAutospacing="0" w:line="276" w:lineRule="auto"/>
        <w:jc w:val="both"/>
        <w:rPr>
          <w:rFonts w:ascii="Calibri" w:hAnsi="Calibri" w:cs="Calibri"/>
          <w:sz w:val="22"/>
          <w:szCs w:val="22"/>
        </w:rPr>
      </w:pPr>
      <w:r>
        <w:rPr>
          <w:rFonts w:ascii="Calibri" w:hAnsi="Calibri" w:cs="Calibri"/>
          <w:sz w:val="22"/>
          <w:szCs w:val="22"/>
        </w:rPr>
        <w:t>Για το λόγο αυτό,</w:t>
      </w:r>
      <w:r w:rsidR="002C70FF">
        <w:rPr>
          <w:rFonts w:ascii="Calibri" w:hAnsi="Calibri" w:cs="Calibri"/>
          <w:sz w:val="22"/>
          <w:szCs w:val="22"/>
        </w:rPr>
        <w:t xml:space="preserve"> είναι απαραίτητος ο σχεδιασμός και η εφαρμογή μηχανισμών χρηματοδότησης των πληττόμενων νοικοκυριών, ώστε να καταφέρουν να </w:t>
      </w:r>
      <w:r w:rsidR="002351BB">
        <w:rPr>
          <w:rFonts w:ascii="Calibri" w:hAnsi="Calibri" w:cs="Calibri"/>
          <w:sz w:val="22"/>
          <w:szCs w:val="22"/>
        </w:rPr>
        <w:t xml:space="preserve">αντεπεξέλθουν </w:t>
      </w:r>
      <w:r w:rsidR="002C70FF">
        <w:rPr>
          <w:rFonts w:ascii="Calibri" w:hAnsi="Calibri" w:cs="Calibri"/>
          <w:sz w:val="22"/>
          <w:szCs w:val="22"/>
        </w:rPr>
        <w:t>στις απαιτήσεις χρηματοδότησης των παρεμβάσεων.</w:t>
      </w:r>
    </w:p>
    <w:p w14:paraId="08004829" w14:textId="77777777" w:rsidR="00AC1EDC" w:rsidRDefault="00AC1EDC" w:rsidP="00DA2C45">
      <w:pPr>
        <w:pStyle w:val="Web"/>
        <w:spacing w:before="120" w:beforeAutospacing="0" w:after="120" w:afterAutospacing="0" w:line="276" w:lineRule="auto"/>
        <w:jc w:val="both"/>
        <w:rPr>
          <w:rFonts w:ascii="Calibri" w:hAnsi="Calibri" w:cs="Calibri"/>
          <w:sz w:val="22"/>
          <w:szCs w:val="22"/>
        </w:rPr>
      </w:pPr>
    </w:p>
    <w:p w14:paraId="7912C656" w14:textId="77777777" w:rsidR="002C4DD2" w:rsidRPr="00B51C79" w:rsidRDefault="002C4DD2" w:rsidP="004876A5">
      <w:pPr>
        <w:pStyle w:val="Web"/>
        <w:spacing w:before="120" w:beforeAutospacing="0" w:after="120" w:afterAutospacing="0" w:line="276" w:lineRule="auto"/>
        <w:rPr>
          <w:rFonts w:ascii="Calibri" w:hAnsi="Calibri" w:cs="Calibri"/>
          <w:sz w:val="22"/>
          <w:szCs w:val="22"/>
        </w:rPr>
      </w:pPr>
    </w:p>
    <w:p w14:paraId="31B60AD2" w14:textId="77777777" w:rsidR="002C70FF" w:rsidRDefault="002C70FF" w:rsidP="004876A5">
      <w:pPr>
        <w:pStyle w:val="Web"/>
        <w:spacing w:before="120" w:beforeAutospacing="0" w:after="120" w:afterAutospacing="0" w:line="276" w:lineRule="auto"/>
        <w:rPr>
          <w:rFonts w:ascii="Calibri" w:hAnsi="Calibri" w:cs="Calibri"/>
          <w:sz w:val="22"/>
          <w:szCs w:val="22"/>
        </w:rPr>
        <w:sectPr w:rsidR="002C70FF" w:rsidSect="00044B9A">
          <w:pgSz w:w="11906" w:h="16838"/>
          <w:pgMar w:top="1440" w:right="1558" w:bottom="1440" w:left="1800" w:header="708" w:footer="708" w:gutter="0"/>
          <w:cols w:space="708"/>
          <w:docGrid w:linePitch="360"/>
        </w:sectPr>
      </w:pPr>
    </w:p>
    <w:p w14:paraId="31B60AD3" w14:textId="77777777" w:rsidR="002C70FF" w:rsidRDefault="002C70FF" w:rsidP="00DA2C45">
      <w:pPr>
        <w:pStyle w:val="1"/>
        <w:numPr>
          <w:ilvl w:val="0"/>
          <w:numId w:val="1"/>
        </w:numPr>
        <w:spacing w:before="240" w:after="240"/>
        <w:rPr>
          <w:rFonts w:ascii="Calibri" w:hAnsi="Calibri" w:cs="Calibri"/>
          <w:color w:val="002060"/>
        </w:rPr>
      </w:pPr>
      <w:bookmarkStart w:id="26" w:name="_Toc214271404"/>
      <w:r w:rsidRPr="004876A5">
        <w:rPr>
          <w:rFonts w:ascii="Calibri" w:hAnsi="Calibri" w:cs="Calibri"/>
          <w:color w:val="002060"/>
        </w:rPr>
        <w:lastRenderedPageBreak/>
        <w:t>Μηχανισμός παρακολούθησης</w:t>
      </w:r>
      <w:r>
        <w:rPr>
          <w:rFonts w:ascii="Calibri" w:hAnsi="Calibri" w:cs="Calibri"/>
          <w:color w:val="002060"/>
        </w:rPr>
        <w:t xml:space="preserve"> και ελέγχου Σχεδίου Δράσης</w:t>
      </w:r>
      <w:bookmarkEnd w:id="26"/>
    </w:p>
    <w:p w14:paraId="31B60AD5" w14:textId="7BEC701F" w:rsidR="002C70FF" w:rsidRPr="002D2162" w:rsidRDefault="002C70FF" w:rsidP="007634F9">
      <w:pPr>
        <w:spacing w:before="120" w:after="120"/>
        <w:jc w:val="both"/>
      </w:pPr>
      <w:r>
        <w:t>Η παρακολούθηση της εξέλιξης του φαινομένου της ενεργειακής ένδειας θα πραγματοποιείται μέσω του προσδιορισμού του αριθμού των νοικοκυριών, τα οποία εξακολουθούν να πλήττονται από το συγκεκριμένο φαινόμενο σε ετήσια βάση</w:t>
      </w:r>
      <w:r w:rsidR="003A6842">
        <w:t>,</w:t>
      </w:r>
      <w:r>
        <w:t xml:space="preserve"> και τη </w:t>
      </w:r>
      <w:r w:rsidR="00C215E8">
        <w:t xml:space="preserve">σύγκρισή </w:t>
      </w:r>
      <w:r>
        <w:t>του με το αντίστοιχο μέγεθος για το έτος αναφοράς.</w:t>
      </w:r>
    </w:p>
    <w:p w14:paraId="31B60AD6" w14:textId="197E5ECD" w:rsidR="002C70FF" w:rsidRPr="000912EA" w:rsidRDefault="002C70FF" w:rsidP="007634F9">
      <w:pPr>
        <w:spacing w:before="120" w:after="120"/>
        <w:jc w:val="both"/>
      </w:pPr>
      <w:r>
        <w:t>Πιο συγκεκριμένα, έχει σχεδιαστεί</w:t>
      </w:r>
      <w:r w:rsidR="001E2AA9" w:rsidRPr="001E2AA9">
        <w:t xml:space="preserve"> </w:t>
      </w:r>
      <w:r w:rsidR="001E2AA9">
        <w:t>ένας ολιστικός μηχανισμός παρακολούθησης</w:t>
      </w:r>
      <w:r>
        <w:t xml:space="preserve">, ο οποίος θα επιτρέπει </w:t>
      </w:r>
      <w:r w:rsidR="001E2AA9" w:rsidRPr="00E271B4">
        <w:t>ποσοτικοποίηση</w:t>
      </w:r>
      <w:r w:rsidR="001E2AA9">
        <w:t xml:space="preserve"> </w:t>
      </w:r>
      <w:r>
        <w:t xml:space="preserve">τόσο την </w:t>
      </w:r>
      <w:r w:rsidRPr="0077604D">
        <w:t>“</w:t>
      </w:r>
      <w:r>
        <w:t>από την κορυφή στη βάση</w:t>
      </w:r>
      <w:r w:rsidRPr="0077604D">
        <w:t>”</w:t>
      </w:r>
      <w:r>
        <w:t xml:space="preserve">, όσο και </w:t>
      </w:r>
      <w:r w:rsidRPr="0077604D">
        <w:t>“</w:t>
      </w:r>
      <w:r>
        <w:t>από τη βάση στην κορυφή</w:t>
      </w:r>
      <w:r w:rsidRPr="0077604D">
        <w:t>”</w:t>
      </w:r>
      <w:r w:rsidRPr="00CA1DFF">
        <w:t xml:space="preserve"> </w:t>
      </w:r>
      <w:r>
        <w:t xml:space="preserve">της εξέλιξης του φαινομένου της ενεργειακής ένδειας σε ετήσια βάση (Διάγραμμα </w:t>
      </w:r>
      <w:r w:rsidR="00B11578" w:rsidRPr="00B11578">
        <w:t>9</w:t>
      </w:r>
      <w:r>
        <w:t>).</w:t>
      </w:r>
    </w:p>
    <w:p w14:paraId="6FC95073" w14:textId="06211898" w:rsidR="00D817DF" w:rsidRDefault="00D817DF" w:rsidP="007634F9">
      <w:pPr>
        <w:pStyle w:val="Web"/>
        <w:spacing w:before="120" w:beforeAutospacing="0" w:after="120" w:afterAutospacing="0" w:line="276" w:lineRule="auto"/>
        <w:jc w:val="center"/>
        <w:rPr>
          <w:rFonts w:ascii="Calibri" w:hAnsi="Calibri" w:cs="Calibri"/>
          <w:b/>
          <w:bCs/>
          <w:sz w:val="22"/>
          <w:szCs w:val="22"/>
          <w:lang w:eastAsia="en-US"/>
        </w:rPr>
      </w:pPr>
      <w:r>
        <w:rPr>
          <w:rFonts w:ascii="Calibri" w:hAnsi="Calibri" w:cs="Calibri"/>
          <w:b/>
          <w:bCs/>
          <w:noProof/>
          <w:sz w:val="22"/>
          <w:szCs w:val="22"/>
          <w:lang w:eastAsia="en-US"/>
        </w:rPr>
        <w:drawing>
          <wp:inline distT="0" distB="0" distL="0" distR="0" wp14:anchorId="3EB92F06" wp14:editId="06774748">
            <wp:extent cx="5486400" cy="4295775"/>
            <wp:effectExtent l="19050" t="0" r="38100" b="0"/>
            <wp:docPr id="1043648413"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1B60AD8" w14:textId="2D8CF68B" w:rsidR="002C70FF" w:rsidRPr="007452FE" w:rsidRDefault="002C70FF" w:rsidP="007634F9">
      <w:pPr>
        <w:pStyle w:val="Web"/>
        <w:spacing w:before="120" w:beforeAutospacing="0" w:after="120" w:afterAutospacing="0" w:line="276" w:lineRule="auto"/>
        <w:jc w:val="center"/>
        <w:rPr>
          <w:rFonts w:ascii="Calibri" w:hAnsi="Calibri" w:cs="Calibri"/>
          <w:b/>
          <w:bCs/>
          <w:sz w:val="22"/>
          <w:szCs w:val="22"/>
          <w:lang w:eastAsia="en-US"/>
        </w:rPr>
      </w:pPr>
      <w:r w:rsidRPr="009B3102">
        <w:rPr>
          <w:rFonts w:ascii="Calibri" w:hAnsi="Calibri" w:cs="Calibri"/>
          <w:b/>
          <w:bCs/>
          <w:sz w:val="22"/>
          <w:szCs w:val="22"/>
          <w:lang w:eastAsia="en-US"/>
        </w:rPr>
        <w:t xml:space="preserve">Διάγραμμα </w:t>
      </w:r>
      <w:r w:rsidR="007D1663" w:rsidRPr="009B3102">
        <w:rPr>
          <w:rFonts w:ascii="Calibri" w:hAnsi="Calibri" w:cs="Calibri"/>
          <w:b/>
          <w:bCs/>
          <w:sz w:val="22"/>
          <w:szCs w:val="22"/>
          <w:lang w:eastAsia="en-US"/>
        </w:rPr>
        <w:fldChar w:fldCharType="begin"/>
      </w:r>
      <w:r w:rsidRPr="009B3102">
        <w:rPr>
          <w:rFonts w:ascii="Calibri" w:hAnsi="Calibri" w:cs="Calibri"/>
          <w:b/>
          <w:bCs/>
          <w:sz w:val="22"/>
          <w:szCs w:val="22"/>
          <w:lang w:eastAsia="en-US"/>
        </w:rPr>
        <w:instrText xml:space="preserve"> SEQ Figure \* ARABIC </w:instrText>
      </w:r>
      <w:r w:rsidR="007D1663" w:rsidRPr="009B3102">
        <w:rPr>
          <w:rFonts w:ascii="Calibri" w:hAnsi="Calibri" w:cs="Calibri"/>
          <w:b/>
          <w:bCs/>
          <w:sz w:val="22"/>
          <w:szCs w:val="22"/>
          <w:lang w:eastAsia="en-US"/>
        </w:rPr>
        <w:fldChar w:fldCharType="separate"/>
      </w:r>
      <w:r w:rsidR="00F027FB">
        <w:rPr>
          <w:rFonts w:ascii="Calibri" w:hAnsi="Calibri" w:cs="Calibri"/>
          <w:b/>
          <w:bCs/>
          <w:noProof/>
          <w:sz w:val="22"/>
          <w:szCs w:val="22"/>
          <w:lang w:eastAsia="en-US"/>
        </w:rPr>
        <w:t>9</w:t>
      </w:r>
      <w:r w:rsidR="007D1663" w:rsidRPr="009B3102">
        <w:rPr>
          <w:rFonts w:ascii="Calibri" w:hAnsi="Calibri" w:cs="Calibri"/>
          <w:b/>
          <w:bCs/>
          <w:sz w:val="22"/>
          <w:szCs w:val="22"/>
          <w:lang w:eastAsia="en-US"/>
        </w:rPr>
        <w:fldChar w:fldCharType="end"/>
      </w:r>
      <w:r w:rsidRPr="009B3102">
        <w:rPr>
          <w:rFonts w:ascii="Calibri" w:hAnsi="Calibri" w:cs="Calibri"/>
          <w:b/>
          <w:bCs/>
          <w:sz w:val="22"/>
          <w:szCs w:val="22"/>
          <w:lang w:eastAsia="en-US"/>
        </w:rPr>
        <w:t>:</w:t>
      </w:r>
      <w:r>
        <w:rPr>
          <w:rFonts w:ascii="Calibri" w:hAnsi="Calibri" w:cs="Calibri"/>
          <w:b/>
          <w:bCs/>
          <w:sz w:val="22"/>
          <w:szCs w:val="22"/>
          <w:lang w:eastAsia="en-US"/>
        </w:rPr>
        <w:t xml:space="preserve"> Πλαίσιο</w:t>
      </w:r>
      <w:r w:rsidRPr="007452FE">
        <w:rPr>
          <w:rFonts w:ascii="Calibri" w:hAnsi="Calibri" w:cs="Calibri"/>
          <w:b/>
          <w:bCs/>
          <w:sz w:val="22"/>
          <w:szCs w:val="22"/>
          <w:lang w:eastAsia="en-US"/>
        </w:rPr>
        <w:t xml:space="preserve"> παρακολούθησης εξέλιξης φαινομένου ενεργειακής ένδειας.</w:t>
      </w:r>
    </w:p>
    <w:p w14:paraId="31B60AD9" w14:textId="77777777" w:rsidR="002C70FF" w:rsidRDefault="002C70FF" w:rsidP="007634F9">
      <w:pPr>
        <w:spacing w:before="120" w:after="120"/>
        <w:jc w:val="both"/>
      </w:pPr>
    </w:p>
    <w:p w14:paraId="31B60ADA" w14:textId="6BE1AB61" w:rsidR="002C70FF" w:rsidRDefault="002C70FF" w:rsidP="007634F9">
      <w:pPr>
        <w:spacing w:before="120" w:after="120"/>
        <w:jc w:val="both"/>
      </w:pPr>
      <w:r>
        <w:t xml:space="preserve">Αρχικά, ο προσδιορισμός του αριθμού των νοικοκυριών, για τις ανάγκες της </w:t>
      </w:r>
      <w:r w:rsidRPr="0077604D">
        <w:t>“</w:t>
      </w:r>
      <w:r>
        <w:t>από την κορυφή στη βάση</w:t>
      </w:r>
      <w:r w:rsidRPr="0077604D">
        <w:t>”</w:t>
      </w:r>
      <w:r>
        <w:t xml:space="preserve"> παρακολούθησης</w:t>
      </w:r>
      <w:r w:rsidRPr="000D59AF">
        <w:t xml:space="preserve"> </w:t>
      </w:r>
      <w:r>
        <w:t>(</w:t>
      </w:r>
      <w:r>
        <w:rPr>
          <w:lang w:val="en-US"/>
        </w:rPr>
        <w:t>top</w:t>
      </w:r>
      <w:r w:rsidRPr="000D59AF">
        <w:t>-</w:t>
      </w:r>
      <w:r>
        <w:rPr>
          <w:lang w:val="en-US"/>
        </w:rPr>
        <w:t>down</w:t>
      </w:r>
      <w:r w:rsidRPr="000D59AF">
        <w:t xml:space="preserve"> </w:t>
      </w:r>
      <w:r>
        <w:rPr>
          <w:lang w:val="en-US"/>
        </w:rPr>
        <w:t>monitoring</w:t>
      </w:r>
      <w:r w:rsidRPr="000D59AF">
        <w:t>)</w:t>
      </w:r>
      <w:r>
        <w:t xml:space="preserve">, θα πραγματοποιείται βάσει του </w:t>
      </w:r>
      <w:r w:rsidRPr="003C7BDC">
        <w:t>Δείκτη Ι</w:t>
      </w:r>
      <w:r w:rsidR="00A13155">
        <w:t>-</w:t>
      </w:r>
      <w:r w:rsidRPr="003C7BDC">
        <w:t>ΙΙ</w:t>
      </w:r>
      <w:r w:rsidR="00F13C7F" w:rsidRPr="007619D0">
        <w:rPr>
          <w:vertAlign w:val="subscript"/>
        </w:rPr>
        <w:t>2025</w:t>
      </w:r>
      <w:r>
        <w:t xml:space="preserve">, </w:t>
      </w:r>
      <w:r w:rsidR="00EE555D">
        <w:t>αξιοποιώντας</w:t>
      </w:r>
      <w:r>
        <w:t xml:space="preserve"> τα δεδομένα που συλλέγονται από την Έρευνα Οικογενειακού Προϋπολογισμού σε ετήσια βάση</w:t>
      </w:r>
      <w:r w:rsidR="00EE555D">
        <w:t>,</w:t>
      </w:r>
      <w:r>
        <w:t xml:space="preserve"> σύμφωνα με όσα παρουσιάστηκαν στο </w:t>
      </w:r>
      <w:r w:rsidR="00AC214E">
        <w:t xml:space="preserve">Κεφάλαιο </w:t>
      </w:r>
      <w:r>
        <w:t>2.1.</w:t>
      </w:r>
    </w:p>
    <w:p w14:paraId="31B60ADB" w14:textId="5FCCCE0C" w:rsidR="002C70FF" w:rsidRDefault="002C70FF" w:rsidP="007634F9">
      <w:pPr>
        <w:spacing w:before="120" w:after="120"/>
        <w:jc w:val="both"/>
      </w:pPr>
      <w:r>
        <w:t xml:space="preserve">Ο υπολογισμός των απαιτούμενων μεγεθών και η παρουσίαση του αριθμού των </w:t>
      </w:r>
      <w:r w:rsidR="00EE555D">
        <w:t xml:space="preserve">ενεργειακά φτωχών </w:t>
      </w:r>
      <w:r>
        <w:t xml:space="preserve">νοικοκυριών θα πραγματοποιείται από το ΚΑΠΕ και τα αποτελέσματα θα δημοσιοποιούνται μέσω του Εθνικού Παρατηρητηρίου της Ενεργειακής Ένδειας </w:t>
      </w:r>
      <w:r w:rsidR="00B11578" w:rsidRPr="00B11578">
        <w:t>(</w:t>
      </w:r>
      <w:hyperlink r:id="rId45" w:history="1">
        <w:r w:rsidR="00B11578" w:rsidRPr="00FD3A75">
          <w:rPr>
            <w:rStyle w:val="-"/>
            <w:rFonts w:cs="Calibri"/>
            <w:lang w:val="en-US"/>
          </w:rPr>
          <w:t>www</w:t>
        </w:r>
        <w:r w:rsidR="00B11578" w:rsidRPr="00FD3A75">
          <w:rPr>
            <w:rStyle w:val="-"/>
            <w:rFonts w:cs="Calibri"/>
          </w:rPr>
          <w:t>.</w:t>
        </w:r>
        <w:r w:rsidR="00B11578" w:rsidRPr="00FD3A75">
          <w:rPr>
            <w:rStyle w:val="-"/>
            <w:rFonts w:cs="Calibri"/>
            <w:lang w:val="en-US"/>
          </w:rPr>
          <w:t>energypoverty</w:t>
        </w:r>
        <w:r w:rsidR="00B11578" w:rsidRPr="00FD3A75">
          <w:rPr>
            <w:rStyle w:val="-"/>
            <w:rFonts w:cs="Calibri"/>
          </w:rPr>
          <w:t>.</w:t>
        </w:r>
        <w:r w:rsidR="00B11578" w:rsidRPr="00FD3A75">
          <w:rPr>
            <w:rStyle w:val="-"/>
            <w:rFonts w:cs="Calibri"/>
            <w:lang w:val="en-US"/>
          </w:rPr>
          <w:t>gr</w:t>
        </w:r>
      </w:hyperlink>
      <w:r w:rsidR="00B11578" w:rsidRPr="00B11578">
        <w:t xml:space="preserve">) </w:t>
      </w:r>
      <w:r>
        <w:t>σε ετήσια βάση.</w:t>
      </w:r>
    </w:p>
    <w:p w14:paraId="31B60AE2" w14:textId="0AD7D2A7" w:rsidR="002C70FF" w:rsidRDefault="002C70FF" w:rsidP="007634F9">
      <w:pPr>
        <w:spacing w:before="120" w:after="120"/>
        <w:jc w:val="both"/>
      </w:pPr>
      <w:r w:rsidRPr="00F21EFF">
        <w:lastRenderedPageBreak/>
        <w:t xml:space="preserve">Το </w:t>
      </w:r>
      <w:r>
        <w:t xml:space="preserve">Εθνικό Παρατηρητήριο της Ενεργειακής Ένδειας </w:t>
      </w:r>
      <w:r w:rsidR="003160AD">
        <w:t xml:space="preserve">θα </w:t>
      </w:r>
      <w:r w:rsidR="00EE555D">
        <w:t xml:space="preserve">αποτελέσει τη </w:t>
      </w:r>
      <w:r>
        <w:t xml:space="preserve">συνέχεια του </w:t>
      </w:r>
      <w:r w:rsidRPr="00F21EFF">
        <w:t>Παρατηρητ</w:t>
      </w:r>
      <w:r>
        <w:t xml:space="preserve">ηρίου της </w:t>
      </w:r>
      <w:r w:rsidRPr="00F21EFF">
        <w:t>Ενεργειακής Φτώχειας</w:t>
      </w:r>
      <w:r>
        <w:t>, το οποίο</w:t>
      </w:r>
      <w:r w:rsidRPr="00F21EFF">
        <w:t xml:space="preserve"> αναπτύχθηκε από το </w:t>
      </w:r>
      <w:r>
        <w:t>ΚΑΠΕ</w:t>
      </w:r>
      <w:r w:rsidRPr="00F21EFF">
        <w:t xml:space="preserve"> </w:t>
      </w:r>
      <w:r>
        <w:t xml:space="preserve">το έτος 2014 </w:t>
      </w:r>
      <w:r w:rsidRPr="00F21EFF">
        <w:t xml:space="preserve">και </w:t>
      </w:r>
      <w:r>
        <w:t>είχε</w:t>
      </w:r>
      <w:r w:rsidRPr="00F21EFF">
        <w:t xml:space="preserve"> σκοπό την ενημέρωση του κοινού και των φορέων άσκησης πολιτικής σχετικά με τα επίπεδα της ενεργειακής </w:t>
      </w:r>
      <w:r>
        <w:t>ένδειας</w:t>
      </w:r>
      <w:r w:rsidRPr="00F21EFF">
        <w:t xml:space="preserve"> στην Ελλάδα.</w:t>
      </w:r>
      <w:r w:rsidR="00994394">
        <w:t xml:space="preserve"> Σ</w:t>
      </w:r>
      <w:r>
        <w:t xml:space="preserve">το Εθνικό Παρατηρητήριο της Ενεργειακής Ένδειας θα παρουσιάζεται η εξέλιξη των δεικτών, οι οποίοι αξιολογήθηκαν στο πλαίσιο του </w:t>
      </w:r>
      <w:r w:rsidR="0014357D">
        <w:t xml:space="preserve">Κεφαλαίου </w:t>
      </w:r>
      <w:r w:rsidR="00F435EC">
        <w:t>1</w:t>
      </w:r>
      <w:r>
        <w:t>.</w:t>
      </w:r>
      <w:r w:rsidR="00F435EC">
        <w:t xml:space="preserve">3 </w:t>
      </w:r>
      <w:r>
        <w:t xml:space="preserve">και παρουσιάζονται </w:t>
      </w:r>
      <w:r w:rsidR="00123DD9" w:rsidRPr="00227D16">
        <w:t xml:space="preserve">στο Διάγραμμα </w:t>
      </w:r>
      <w:r w:rsidR="00F027FB" w:rsidRPr="00227D16">
        <w:t>5</w:t>
      </w:r>
      <w:r w:rsidRPr="00227D16">
        <w:t>, σε</w:t>
      </w:r>
      <w:r>
        <w:t xml:space="preserve"> συνδυασμό με τους τέσσερις δείκτες του Ευρωπαϊκού Παρατηρητηρίου της </w:t>
      </w:r>
      <w:r w:rsidRPr="00F21EFF">
        <w:t>Ενεργειακής Φτώχειας</w:t>
      </w:r>
      <w:r>
        <w:t>, ώστε να παρέχεται μια πιο ολοκληρωμένη απεικόνιση του πολυδιάστατου φαινομένου της ενεργειακής ένδειας.</w:t>
      </w:r>
    </w:p>
    <w:p w14:paraId="286A711F" w14:textId="4C7C93B1" w:rsidR="002319B7" w:rsidRDefault="00994394" w:rsidP="007634F9">
      <w:pPr>
        <w:spacing w:before="120" w:after="120"/>
        <w:jc w:val="both"/>
      </w:pPr>
      <w:r>
        <w:t>Το Εθνικό Παρατηρητήριο για την Ενεργειακή Ένδεια</w:t>
      </w:r>
      <w:r w:rsidR="002319B7" w:rsidRPr="002319B7" w:rsidDel="00F6398E">
        <w:t xml:space="preserve"> </w:t>
      </w:r>
      <w:r w:rsidR="002319B7" w:rsidRPr="002319B7">
        <w:t>θα είναι αρμόδι</w:t>
      </w:r>
      <w:r>
        <w:t>ο</w:t>
      </w:r>
      <w:r w:rsidR="002319B7" w:rsidRPr="002319B7">
        <w:t xml:space="preserve"> για την κατάρτιση έκθεσης προόδου σε ετήσια βάση, στο πλαίσιο της οποίας θα αποτυπώνεται η εξέλιξη του φαινομένου της ενεργειακής ένδειας μέσω της εφαρμογής των προτεινόμενων διαδικασιών παρακολούθησης, τόσο “από την κορυφή στη βάση”, όσο και “από τη βάση στην κορυφή”. Οι εκθέσεις προόδου θα υποβάλλονται στον Υπουργό Περιβάλλοντος και Ενέργειας προς έγκριση το 2</w:t>
      </w:r>
      <w:r w:rsidR="002319B7" w:rsidRPr="002319B7">
        <w:rPr>
          <w:vertAlign w:val="superscript"/>
        </w:rPr>
        <w:t>ο</w:t>
      </w:r>
      <w:r w:rsidR="002319B7" w:rsidRPr="002319B7">
        <w:t xml:space="preserve"> τρίμηνο κάθε έτους, όπου θα παρουσιάζεται η επίτευξη του στόχου σε σχέση με το προηγούμενο έτος και θα προτείνονται οι καταρτιζόμενες προτάσεις σε περίπτωση σημαντικών αποκλίσεων.</w:t>
      </w:r>
    </w:p>
    <w:p w14:paraId="31B60AE3" w14:textId="6B40D91A" w:rsidR="002C70FF" w:rsidRDefault="002C70FF" w:rsidP="007634F9">
      <w:pPr>
        <w:spacing w:before="120" w:after="120"/>
        <w:jc w:val="both"/>
      </w:pPr>
      <w:r>
        <w:t xml:space="preserve">Ταυτόχρονα, ο </w:t>
      </w:r>
      <w:r w:rsidRPr="00306991">
        <w:t xml:space="preserve">σχεδιασμός </w:t>
      </w:r>
      <w:r>
        <w:t>και η εφαρμογή της</w:t>
      </w:r>
      <w:r w:rsidRPr="00306991">
        <w:t xml:space="preserve"> μεθοδολογίας παρακολούθησης “από τη βάση στην κορυφή” (bottom-up monitoring)</w:t>
      </w:r>
      <w:r>
        <w:t xml:space="preserve"> θεωρείται κρίσιμης σημασίας για την αποτελεσματική αξιολόγηση των </w:t>
      </w:r>
      <w:r w:rsidR="004F353B">
        <w:t xml:space="preserve">μέτρων και πολιτικών </w:t>
      </w:r>
      <w:r>
        <w:t xml:space="preserve">που θα υλοποιηθούν </w:t>
      </w:r>
      <w:r w:rsidR="00EE555D">
        <w:t>για</w:t>
      </w:r>
      <w:r>
        <w:t xml:space="preserve"> την αντιμετώπιση της ενεργειακής ένδειας.</w:t>
      </w:r>
    </w:p>
    <w:p w14:paraId="31B60AE6" w14:textId="3B7F309D" w:rsidR="002C70FF" w:rsidRDefault="002C70FF" w:rsidP="003C7BDC">
      <w:pPr>
        <w:spacing w:before="120" w:after="120"/>
        <w:jc w:val="both"/>
      </w:pPr>
      <w:r>
        <w:t xml:space="preserve">Κομβικός αναμένεται να είναι ο ρόλος της </w:t>
      </w:r>
      <w:r w:rsidR="00F6398E">
        <w:t>Τεχνικής Ομάδας για την Ενεργειακή Ένδεια</w:t>
      </w:r>
      <w:r>
        <w:t xml:space="preserve">, </w:t>
      </w:r>
      <w:r w:rsidR="003A6842">
        <w:t>η οποία</w:t>
      </w:r>
      <w:r>
        <w:t xml:space="preserve"> θα αναλάβει τη διαχείριση του μηχανισμού παρακολούθησης και ελέγχου και την απρόσκοπτη εφαρμογή των προβλεπόμενων διαδικασιών</w:t>
      </w:r>
      <w:r w:rsidR="00EE555D">
        <w:t>,</w:t>
      </w:r>
      <w:r>
        <w:t xml:space="preserve"> διασφαλίζοντας ότι το Σχέδιο Δράσης για την καταπολέμηση της Ενεργειακής Ένδειας θα εφαρμοστεί σύμφωνα με τις απαιτήσεις και τους στόχους του ΕΣΕΚ έως το έτος 2030.</w:t>
      </w:r>
    </w:p>
    <w:p w14:paraId="31B60AE7" w14:textId="2244637A" w:rsidR="002C70FF" w:rsidRPr="00F6398E" w:rsidRDefault="00F6398E" w:rsidP="003C7BDC">
      <w:pPr>
        <w:spacing w:before="120" w:after="120"/>
        <w:jc w:val="both"/>
      </w:pPr>
      <w:r w:rsidRPr="00F6398E">
        <w:t>Η Τεχνική Ομάδα για την Ενεργειακή Ένδεια</w:t>
      </w:r>
      <w:r w:rsidRPr="00F6398E" w:rsidDel="00F6398E">
        <w:t xml:space="preserve"> </w:t>
      </w:r>
      <w:r w:rsidR="002C70FF" w:rsidRPr="00F6398E">
        <w:t xml:space="preserve">θα αναλάβει την αξιολόγηση των </w:t>
      </w:r>
      <w:r w:rsidR="004F353B" w:rsidRPr="00F6398E">
        <w:t xml:space="preserve">μέτρων και πολιτικών </w:t>
      </w:r>
      <w:r w:rsidR="002C70FF" w:rsidRPr="00F6398E">
        <w:t xml:space="preserve">που εφαρμόζονται την περίοδο 2021-2030, ενώ θα είναι αρμόδια για τη διαμόρφωση προτάσεων με σκοπό είτε τη βελτίωση των υφιστάμενων </w:t>
      </w:r>
      <w:r w:rsidR="004F353B" w:rsidRPr="00F6398E">
        <w:t xml:space="preserve">μέτρων και πολιτικών </w:t>
      </w:r>
      <w:r w:rsidR="002C70FF" w:rsidRPr="00F6398E">
        <w:t>είτε το σχεδιασμό και την εφαρμογή νέων αποδοτικότερων.</w:t>
      </w:r>
    </w:p>
    <w:p w14:paraId="31B60AE9" w14:textId="17C7B976" w:rsidR="002C70FF" w:rsidRDefault="00F6398E" w:rsidP="00C26F8A">
      <w:pPr>
        <w:spacing w:before="120" w:after="120"/>
        <w:jc w:val="both"/>
      </w:pPr>
      <w:r w:rsidRPr="00F6398E">
        <w:t>Η Τεχνική Ομάδα για την Ενεργειακή Ένδεια</w:t>
      </w:r>
      <w:r w:rsidRPr="00F6398E" w:rsidDel="00F6398E">
        <w:t xml:space="preserve"> </w:t>
      </w:r>
      <w:r w:rsidR="002C70FF" w:rsidRPr="00F6398E">
        <w:t>θα συμμετ</w:t>
      </w:r>
      <w:r w:rsidR="003A6842" w:rsidRPr="00F6398E">
        <w:t>έχει</w:t>
      </w:r>
      <w:r w:rsidR="002C70FF" w:rsidRPr="00A13155">
        <w:t xml:space="preserve"> στην εξειδίκευση των </w:t>
      </w:r>
      <w:r w:rsidR="004F353B">
        <w:t>μέτρων και πολιτικών</w:t>
      </w:r>
      <w:r w:rsidR="004F353B" w:rsidRPr="00A13155">
        <w:t xml:space="preserve"> </w:t>
      </w:r>
      <w:r w:rsidR="002C70FF" w:rsidRPr="00A13155">
        <w:t xml:space="preserve">σε συνεργασία με τους αρμόδιους </w:t>
      </w:r>
      <w:r w:rsidR="003A6842" w:rsidRPr="00A13155">
        <w:t xml:space="preserve">για τον σχεδιασμό και την υλοποίηση </w:t>
      </w:r>
      <w:r w:rsidR="002C70FF" w:rsidRPr="00A13155">
        <w:t xml:space="preserve">φορείς. Οι συγκεκριμένοι φορείς πρέπει να ενσωματώνουν κατά τη φάση σχεδιασμού και υλοποίησης των </w:t>
      </w:r>
      <w:r w:rsidR="004F353B">
        <w:t>μέτρων και πολιτικών</w:t>
      </w:r>
      <w:r w:rsidR="004F353B" w:rsidRPr="00A13155">
        <w:t xml:space="preserve"> </w:t>
      </w:r>
      <w:r w:rsidR="002C70FF" w:rsidRPr="00A13155">
        <w:t>τις βασικές αρχές που πρέπει να διέπουν αυτά σύμφωνα με τις προβλέψεις του παρόντος Σχεδίου Δράσης.</w:t>
      </w:r>
      <w:r w:rsidR="00F93D8B" w:rsidRPr="00A13155">
        <w:t xml:space="preserve"> Οι προτάσεις εξειδίκευσης των </w:t>
      </w:r>
      <w:r w:rsidR="004F353B">
        <w:t>μέτρων και πολιτικών</w:t>
      </w:r>
      <w:r w:rsidR="004F353B" w:rsidRPr="00A13155">
        <w:t xml:space="preserve"> </w:t>
      </w:r>
      <w:r w:rsidR="00F93D8B" w:rsidRPr="00A13155">
        <w:t xml:space="preserve">θα ενσωματώνονται </w:t>
      </w:r>
      <w:r w:rsidR="003A6842">
        <w:t xml:space="preserve">στις </w:t>
      </w:r>
      <w:r>
        <w:t>ετήσιες</w:t>
      </w:r>
      <w:r w:rsidR="00F93D8B" w:rsidRPr="00A13155">
        <w:t xml:space="preserve"> εκθέσεις προόδου</w:t>
      </w:r>
      <w:r w:rsidR="003A6842">
        <w:t>.</w:t>
      </w:r>
    </w:p>
    <w:p w14:paraId="400A81FB" w14:textId="77777777" w:rsidR="003A1D5D" w:rsidRPr="00A13155" w:rsidRDefault="003A1D5D" w:rsidP="00C26F8A">
      <w:pPr>
        <w:spacing w:before="120" w:after="120"/>
        <w:jc w:val="both"/>
      </w:pPr>
    </w:p>
    <w:p w14:paraId="31B60B63" w14:textId="77777777" w:rsidR="002C70FF" w:rsidRPr="004243EE" w:rsidRDefault="002C70FF" w:rsidP="004876A5">
      <w:pPr>
        <w:pStyle w:val="Web"/>
        <w:spacing w:before="120" w:beforeAutospacing="0" w:after="120" w:afterAutospacing="0" w:line="276" w:lineRule="auto"/>
        <w:rPr>
          <w:rFonts w:ascii="Calibri" w:hAnsi="Calibri" w:cs="Calibri"/>
          <w:sz w:val="22"/>
          <w:szCs w:val="22"/>
          <w:lang w:eastAsia="en-US"/>
        </w:rPr>
        <w:sectPr w:rsidR="002C70FF" w:rsidRPr="004243EE" w:rsidSect="00956B0B">
          <w:pgSz w:w="11906" w:h="16838"/>
          <w:pgMar w:top="1440" w:right="1558" w:bottom="1440" w:left="1800" w:header="708" w:footer="708" w:gutter="0"/>
          <w:cols w:space="708"/>
          <w:docGrid w:linePitch="360"/>
        </w:sectPr>
      </w:pPr>
    </w:p>
    <w:p w14:paraId="31B60B64" w14:textId="046FADE0" w:rsidR="002C70FF" w:rsidRPr="000260D9" w:rsidRDefault="002C70FF" w:rsidP="0041412E">
      <w:pPr>
        <w:pStyle w:val="1"/>
        <w:spacing w:before="240" w:after="240"/>
        <w:jc w:val="both"/>
        <w:rPr>
          <w:rFonts w:ascii="Calibri" w:hAnsi="Calibri" w:cs="Calibri"/>
          <w:color w:val="002060"/>
        </w:rPr>
      </w:pPr>
      <w:bookmarkStart w:id="27" w:name="_Toc214271405"/>
      <w:r w:rsidRPr="00AD4A8F">
        <w:rPr>
          <w:rFonts w:ascii="Calibri" w:hAnsi="Calibri" w:cs="Calibri"/>
          <w:color w:val="002060"/>
        </w:rPr>
        <w:lastRenderedPageBreak/>
        <w:t xml:space="preserve">Παράρτημα Α: </w:t>
      </w:r>
      <w:r w:rsidR="003F0284">
        <w:rPr>
          <w:rFonts w:ascii="Calibri" w:hAnsi="Calibri" w:cs="Calibri"/>
          <w:color w:val="002060"/>
        </w:rPr>
        <w:t>Εντασσόμενες κ</w:t>
      </w:r>
      <w:r w:rsidR="000260D9">
        <w:rPr>
          <w:rFonts w:ascii="Calibri" w:hAnsi="Calibri" w:cs="Calibri"/>
          <w:color w:val="002060"/>
        </w:rPr>
        <w:t>ατηγορίες δαπανών</w:t>
      </w:r>
      <w:r w:rsidR="003F0284">
        <w:rPr>
          <w:rFonts w:ascii="Calibri" w:hAnsi="Calibri" w:cs="Calibri"/>
          <w:color w:val="002060"/>
        </w:rPr>
        <w:t xml:space="preserve"> στις εύλογες δαπάνες διαβίωσης</w:t>
      </w:r>
      <w:bookmarkEnd w:id="27"/>
    </w:p>
    <w:p w14:paraId="0A5D5CC7" w14:textId="1E83EE60" w:rsidR="006543B5" w:rsidRPr="005A64C8" w:rsidRDefault="003F0284" w:rsidP="002F296D">
      <w:pPr>
        <w:spacing w:before="120" w:after="120"/>
        <w:jc w:val="both"/>
      </w:pPr>
      <w:r>
        <w:t>Οι ακόλουθες δαπανών εντάχθηκαν στον υπολογισμό των εύλογων δαπανών διαβίωσης:</w:t>
      </w:r>
    </w:p>
    <w:p w14:paraId="6885275E" w14:textId="091AFDCF" w:rsidR="002F296D" w:rsidRPr="006543B5" w:rsidRDefault="002F296D" w:rsidP="006543B5">
      <w:pPr>
        <w:pStyle w:val="a5"/>
        <w:numPr>
          <w:ilvl w:val="0"/>
          <w:numId w:val="54"/>
        </w:numPr>
        <w:spacing w:before="120" w:after="120"/>
        <w:jc w:val="both"/>
      </w:pPr>
      <w:r w:rsidRPr="002F296D">
        <w:t xml:space="preserve">Όλες οι δαπάνες διατροφής (δημητριακά, γαλακτοκομικά προϊόντα, κρέας, ψάρια, έλαια και λίπη, φρούτα, λαχανικά, γλυκά </w:t>
      </w:r>
      <w:r w:rsidR="00C75C54" w:rsidRPr="002F296D">
        <w:t>κ</w:t>
      </w:r>
      <w:r w:rsidR="00C75C54">
        <w:t>.ά.</w:t>
      </w:r>
      <w:r w:rsidRPr="002F296D">
        <w:t xml:space="preserve">) και των μη αλκοολούχων ποτών (καφές, τσάι, κακάο, μεταλλικά νερά, αναψυκτικά, χυμοί φρούτων, </w:t>
      </w:r>
      <w:r w:rsidR="00C75C54" w:rsidRPr="002F296D">
        <w:t>κ</w:t>
      </w:r>
      <w:r w:rsidR="00C75C54">
        <w:t>.ά.</w:t>
      </w:r>
      <w:r w:rsidRPr="002F296D">
        <w:t xml:space="preserve">) καθώς και έξοδα σε καντίνες και κυλικεία εργασίας, σχολείων, πανεπιστημίων, γραφείων (καφέδες, αναψυκτικά, χυμοί, σάντουιτς, τοστ, τυρόπιτες, γλυκά, </w:t>
      </w:r>
      <w:r w:rsidR="00C75C54" w:rsidRPr="002F296D">
        <w:t>κ</w:t>
      </w:r>
      <w:r w:rsidR="00C75C54">
        <w:t>.ά.</w:t>
      </w:r>
      <w:r w:rsidRPr="002F296D">
        <w:t>)</w:t>
      </w:r>
    </w:p>
    <w:p w14:paraId="690C4142" w14:textId="79A862F1" w:rsidR="002F296D" w:rsidRPr="002F296D" w:rsidRDefault="006543B5" w:rsidP="006543B5">
      <w:pPr>
        <w:pStyle w:val="a5"/>
        <w:numPr>
          <w:ilvl w:val="0"/>
          <w:numId w:val="54"/>
        </w:numPr>
        <w:spacing w:before="120" w:after="120"/>
        <w:jc w:val="both"/>
      </w:pPr>
      <w:r w:rsidRPr="006543B5">
        <w:t>Όλες οι δαπάνες ένδυσης και υπόδησης (αγορά ειδών ένδυσης και υπόδησης (ανδρικά, γυναικεία, παιδικά) καθώς και οι επιδιορθώσεις αυτών)</w:t>
      </w:r>
    </w:p>
    <w:p w14:paraId="4E8C62AF" w14:textId="6A25E406" w:rsidR="00425EE9" w:rsidRPr="005A64C8" w:rsidRDefault="006543B5" w:rsidP="006543B5">
      <w:pPr>
        <w:pStyle w:val="a5"/>
        <w:numPr>
          <w:ilvl w:val="0"/>
          <w:numId w:val="54"/>
        </w:numPr>
        <w:spacing w:before="120" w:after="120"/>
        <w:jc w:val="both"/>
      </w:pPr>
      <w:r w:rsidRPr="006543B5">
        <w:t>Όλες οι δαπάνες που σχετίζονται με την κατοικία (ηλεκτρισμός, ύδρευση, θέρμανση, υλικά και υπηρεσίες συντήρησης και επισκευής της κατοικίας)</w:t>
      </w:r>
    </w:p>
    <w:p w14:paraId="505BAC2D" w14:textId="6B879DED" w:rsidR="006543B5" w:rsidRPr="005A64C8" w:rsidRDefault="006543B5" w:rsidP="006543B5">
      <w:pPr>
        <w:pStyle w:val="a5"/>
        <w:numPr>
          <w:ilvl w:val="0"/>
          <w:numId w:val="54"/>
        </w:numPr>
        <w:spacing w:before="120" w:after="120"/>
        <w:jc w:val="both"/>
      </w:pPr>
      <w:r w:rsidRPr="006543B5">
        <w:t xml:space="preserve">Όλα τα έξοδα κίνησης, συντήρησης και επισκευής μεταφορικών μέσων (καύσιμα, λιπαντικά, ανταλλακτικά, σέρβις </w:t>
      </w:r>
      <w:r w:rsidR="00C75C54" w:rsidRPr="002F296D">
        <w:t>κ</w:t>
      </w:r>
      <w:r w:rsidR="00C75C54">
        <w:t>.ά.</w:t>
      </w:r>
      <w:r w:rsidRPr="006543B5">
        <w:t>) καθώς και τα ασφάλιστρα αυτοκινήτου-μηχανής</w:t>
      </w:r>
      <w:r w:rsidR="00C75C54">
        <w:t>)</w:t>
      </w:r>
    </w:p>
    <w:p w14:paraId="13892311" w14:textId="4CC281FC" w:rsidR="006543B5" w:rsidRPr="005A64C8" w:rsidRDefault="006543B5" w:rsidP="006543B5">
      <w:pPr>
        <w:pStyle w:val="a5"/>
        <w:numPr>
          <w:ilvl w:val="0"/>
          <w:numId w:val="54"/>
        </w:numPr>
        <w:spacing w:before="120" w:after="120"/>
        <w:jc w:val="both"/>
      </w:pPr>
      <w:r w:rsidRPr="006543B5">
        <w:t xml:space="preserve">Όλες οι δαπάνες χρήσης αστικών και υπεραστικών μέσων μαζικής μεταφοράς (λεωφορεία, τρόλεϊ, ταξί, τρένα, τραμ, μετρό, επιβατικά πλοία </w:t>
      </w:r>
      <w:r w:rsidR="00C75C54" w:rsidRPr="002F296D">
        <w:t>κ</w:t>
      </w:r>
      <w:r w:rsidR="00C75C54">
        <w:t>.ά.</w:t>
      </w:r>
      <w:r w:rsidRPr="006543B5">
        <w:t>)</w:t>
      </w:r>
    </w:p>
    <w:p w14:paraId="361414C1" w14:textId="5D01882C" w:rsidR="006543B5" w:rsidRPr="006543B5" w:rsidRDefault="006543B5" w:rsidP="006543B5">
      <w:pPr>
        <w:pStyle w:val="a5"/>
        <w:numPr>
          <w:ilvl w:val="0"/>
          <w:numId w:val="54"/>
        </w:numPr>
        <w:spacing w:before="120" w:after="120"/>
        <w:jc w:val="both"/>
      </w:pPr>
      <w:r w:rsidRPr="006543B5">
        <w:t xml:space="preserve">Δαπάνες που σχετίζονται με την επισκευή και τη συντήρηση των διαρκών αγαθών οικιακής χρήσης (έπιπλα, οικιακές συσκευές, </w:t>
      </w:r>
      <w:r w:rsidR="00C75C54" w:rsidRPr="002F296D">
        <w:t>κ</w:t>
      </w:r>
      <w:r w:rsidR="00C75C54">
        <w:t>.ά.</w:t>
      </w:r>
      <w:r w:rsidRPr="006543B5">
        <w:t>)</w:t>
      </w:r>
    </w:p>
    <w:p w14:paraId="619F41C0" w14:textId="1ED1E1D8" w:rsidR="006543B5" w:rsidRPr="006543B5" w:rsidRDefault="006543B5" w:rsidP="006543B5">
      <w:pPr>
        <w:pStyle w:val="a5"/>
        <w:numPr>
          <w:ilvl w:val="0"/>
          <w:numId w:val="54"/>
        </w:numPr>
        <w:spacing w:before="120" w:after="120"/>
        <w:jc w:val="both"/>
      </w:pPr>
      <w:r w:rsidRPr="006543B5">
        <w:t xml:space="preserve">Όλα τα αγαθά για τη συνήθη οικιακή κατανάλωση (σαπούνια, απορρυπαντικά, είδη καθαρισμού, σκούπες, χαρτιά υγείας, χαρτομάντηλα, </w:t>
      </w:r>
      <w:r w:rsidR="00C75C54" w:rsidRPr="002F296D">
        <w:t>κ</w:t>
      </w:r>
      <w:r w:rsidR="00C75C54">
        <w:t>.ά.</w:t>
      </w:r>
      <w:r w:rsidRPr="006543B5">
        <w:t>)</w:t>
      </w:r>
    </w:p>
    <w:p w14:paraId="358DD7D8" w14:textId="74D1D77C" w:rsidR="00425EE9" w:rsidRPr="00425EE9" w:rsidRDefault="006543B5" w:rsidP="006543B5">
      <w:pPr>
        <w:pStyle w:val="a5"/>
        <w:numPr>
          <w:ilvl w:val="0"/>
          <w:numId w:val="54"/>
        </w:numPr>
        <w:spacing w:before="120" w:after="120"/>
        <w:jc w:val="both"/>
      </w:pPr>
      <w:r w:rsidRPr="006543B5">
        <w:t xml:space="preserve">Δαπάνες αγαθών και υπηρεσιών ατομικής καθαριότητας και καλλωπισμού (κομμωτήρια, κουρεία, ξυριστικές μηχανές, ξυραφάκια, οδοντόβουρτσες, οδοντόκρεμες, αρώματα, κολόνιες, καλλυντικά, αποσμητικά, σαπούνια μπάνιου, σαμπουάν κλπ) και λοιπά προσωπικά είδη (τσάντες, πορτοφόλια, γυαλιά ηλίου, ομπρέλες κτλ) καθώς και δαπάνες σχετικά με τα κατοικίδια ζώα (τροφές, λουριά, </w:t>
      </w:r>
      <w:r w:rsidR="00C75C54" w:rsidRPr="002F296D">
        <w:t>κ</w:t>
      </w:r>
      <w:r w:rsidR="00C75C54">
        <w:t>.ά.</w:t>
      </w:r>
      <w:r w:rsidRPr="006543B5">
        <w:t>)</w:t>
      </w:r>
    </w:p>
    <w:p w14:paraId="109A7B97" w14:textId="31449CD8" w:rsidR="00425EE9" w:rsidRPr="00425EE9" w:rsidRDefault="006543B5" w:rsidP="006543B5">
      <w:pPr>
        <w:pStyle w:val="a5"/>
        <w:numPr>
          <w:ilvl w:val="0"/>
          <w:numId w:val="54"/>
        </w:numPr>
        <w:spacing w:before="120" w:after="120"/>
        <w:jc w:val="both"/>
      </w:pPr>
      <w:r w:rsidRPr="006543B5">
        <w:t xml:space="preserve">Δαπάνες σχετικά με την ενημέρωση και τη μόρφωση (βιβλία, εφημερίδες, περιοδικά, είδη χαρτοπωλείου, γραφική ύλη, τετράδια, μολύβια, στυλό, </w:t>
      </w:r>
      <w:r w:rsidR="00C75C54" w:rsidRPr="002F296D">
        <w:t>κ</w:t>
      </w:r>
      <w:r w:rsidR="00C75C54">
        <w:t>.ά.</w:t>
      </w:r>
      <w:r w:rsidRPr="006543B5">
        <w:t>)</w:t>
      </w:r>
    </w:p>
    <w:p w14:paraId="1C93D8E0" w14:textId="3041DA6B" w:rsidR="00425EE9" w:rsidRPr="005A64C8" w:rsidRDefault="006543B5" w:rsidP="006543B5">
      <w:pPr>
        <w:pStyle w:val="a5"/>
        <w:numPr>
          <w:ilvl w:val="0"/>
          <w:numId w:val="54"/>
        </w:numPr>
        <w:spacing w:before="120" w:after="120"/>
        <w:jc w:val="both"/>
      </w:pPr>
      <w:r w:rsidRPr="006543B5">
        <w:t>Όλες οι δαπάνες υπηρεσιών τηλεφωνίας και ταχυδρομικών υπηρεσιών (λογαριασμοί σταθερού τηλεφώνου, κινητού τηλεφώνου, internet, ταχυδρομείων</w:t>
      </w:r>
      <w:r w:rsidR="00C75C54">
        <w:t>,</w:t>
      </w:r>
      <w:r w:rsidRPr="006543B5">
        <w:t xml:space="preserve"> </w:t>
      </w:r>
      <w:r w:rsidR="00C75C54" w:rsidRPr="002F296D">
        <w:t>κ</w:t>
      </w:r>
      <w:r w:rsidR="00C75C54">
        <w:t>.ά.</w:t>
      </w:r>
      <w:r w:rsidRPr="006543B5">
        <w:t>)</w:t>
      </w:r>
    </w:p>
    <w:p w14:paraId="7F76F09F" w14:textId="69650D71" w:rsidR="006543B5" w:rsidRPr="006543B5" w:rsidRDefault="006543B5" w:rsidP="006543B5">
      <w:pPr>
        <w:pStyle w:val="a5"/>
        <w:numPr>
          <w:ilvl w:val="0"/>
          <w:numId w:val="54"/>
        </w:numPr>
        <w:spacing w:before="120" w:after="120"/>
        <w:jc w:val="both"/>
      </w:pPr>
      <w:r w:rsidRPr="006543B5">
        <w:t xml:space="preserve">Δαπάνες ειδών και υπηρεσιών υγείας (φάρμακα, παυσίπονα, επίδεσμοι, γάζες, θερμόμετρα, ιατρικές υπηρεσίες κάθε ειδικότητας, οδοντιατρικές υπηρεσίες, κτηνιατρικές υπηρεσίες </w:t>
      </w:r>
      <w:r w:rsidR="00C75C54" w:rsidRPr="002F296D">
        <w:t>κ</w:t>
      </w:r>
      <w:r w:rsidR="00C75C54">
        <w:t>.ά.</w:t>
      </w:r>
      <w:r w:rsidRPr="006543B5">
        <w:t>)</w:t>
      </w:r>
    </w:p>
    <w:p w14:paraId="642EB89D" w14:textId="64C18855" w:rsidR="006543B5" w:rsidRPr="006543B5" w:rsidRDefault="006543B5" w:rsidP="006543B5">
      <w:pPr>
        <w:pStyle w:val="a5"/>
        <w:numPr>
          <w:ilvl w:val="0"/>
          <w:numId w:val="54"/>
        </w:numPr>
        <w:spacing w:before="120" w:after="120"/>
        <w:jc w:val="both"/>
      </w:pPr>
      <w:r w:rsidRPr="006543B5">
        <w:t xml:space="preserve">Όλες οι δαπάνες υπηρεσιών εκπαίδευσης (παιδικοί σταθμοί, φροντιστήρια, ξένες γλώσσες, εκπαιδευτικές εκδρομές </w:t>
      </w:r>
      <w:r w:rsidR="00C75C54" w:rsidRPr="002F296D">
        <w:t>κ</w:t>
      </w:r>
      <w:r w:rsidR="00C75C54">
        <w:t>.ά.</w:t>
      </w:r>
      <w:r w:rsidRPr="006543B5">
        <w:t>)</w:t>
      </w:r>
    </w:p>
    <w:p w14:paraId="31B60D4B" w14:textId="6F980E60" w:rsidR="002C70FF" w:rsidRPr="005A64C8" w:rsidRDefault="006543B5" w:rsidP="006543B5">
      <w:pPr>
        <w:pStyle w:val="Web"/>
        <w:numPr>
          <w:ilvl w:val="0"/>
          <w:numId w:val="54"/>
        </w:numPr>
        <w:spacing w:before="120" w:beforeAutospacing="0" w:after="120" w:afterAutospacing="0" w:line="276" w:lineRule="auto"/>
        <w:jc w:val="both"/>
        <w:rPr>
          <w:rFonts w:ascii="Calibri" w:hAnsi="Calibri" w:cs="Calibri"/>
          <w:sz w:val="22"/>
          <w:szCs w:val="22"/>
        </w:rPr>
      </w:pPr>
      <w:r w:rsidRPr="006543B5">
        <w:rPr>
          <w:rFonts w:ascii="Calibri" w:hAnsi="Calibri" w:cs="Calibri"/>
          <w:sz w:val="22"/>
          <w:szCs w:val="22"/>
        </w:rPr>
        <w:t xml:space="preserve">Δαπάνες υπηρεσιών κοινωνικής προστασίας (γηροκομεία, ιδρύματα και σχολεία για άτομα με ειδικές ανάγκες, βρεφονηπιακών (παιδικών) σταθμών, παιδότοποι </w:t>
      </w:r>
      <w:r w:rsidR="00C75C54" w:rsidRPr="002F296D">
        <w:t>κ</w:t>
      </w:r>
      <w:r w:rsidR="00C75C54">
        <w:t>.ά.</w:t>
      </w:r>
      <w:r w:rsidRPr="006543B5">
        <w:rPr>
          <w:rFonts w:ascii="Calibri" w:hAnsi="Calibri" w:cs="Calibri"/>
          <w:sz w:val="22"/>
          <w:szCs w:val="22"/>
        </w:rPr>
        <w:t>)</w:t>
      </w:r>
    </w:p>
    <w:p w14:paraId="050F8BBC" w14:textId="376C6F7D" w:rsidR="006543B5" w:rsidRPr="008D1088" w:rsidRDefault="006543B5" w:rsidP="006543B5">
      <w:pPr>
        <w:pStyle w:val="Web"/>
        <w:numPr>
          <w:ilvl w:val="0"/>
          <w:numId w:val="54"/>
        </w:numPr>
        <w:spacing w:before="120" w:beforeAutospacing="0" w:after="120" w:afterAutospacing="0" w:line="276" w:lineRule="auto"/>
        <w:jc w:val="both"/>
        <w:rPr>
          <w:rFonts w:ascii="Calibri" w:hAnsi="Calibri" w:cs="Calibri"/>
          <w:sz w:val="22"/>
          <w:szCs w:val="22"/>
        </w:rPr>
      </w:pPr>
      <w:r w:rsidRPr="006543B5">
        <w:rPr>
          <w:rFonts w:ascii="Calibri" w:hAnsi="Calibri" w:cs="Calibri"/>
          <w:sz w:val="22"/>
          <w:szCs w:val="22"/>
        </w:rPr>
        <w:lastRenderedPageBreak/>
        <w:t xml:space="preserve">Δαπάνες για λοιπές οικονομικές υπηρεσίες (αμοιβές φοροτεχνικών, διοικητικά τέλη, αμοιβές δικηγόρων, αμοιβές συμβολαιογράφων, συνδρομές σε επαγγελματικά σωματεία, ενώσεις, </w:t>
      </w:r>
      <w:r w:rsidR="00C75C54" w:rsidRPr="002F296D">
        <w:t>κ</w:t>
      </w:r>
      <w:r w:rsidR="00C75C54">
        <w:t>.ά.</w:t>
      </w:r>
      <w:r w:rsidRPr="006543B5">
        <w:rPr>
          <w:rFonts w:ascii="Calibri" w:hAnsi="Calibri" w:cs="Calibri"/>
          <w:sz w:val="22"/>
          <w:szCs w:val="22"/>
        </w:rPr>
        <w:t>)</w:t>
      </w:r>
    </w:p>
    <w:p w14:paraId="0432CAFC" w14:textId="77777777" w:rsidR="008D1088" w:rsidRPr="00CA7DCE" w:rsidRDefault="008D1088" w:rsidP="008D1088">
      <w:pPr>
        <w:pStyle w:val="Web"/>
        <w:spacing w:before="120" w:beforeAutospacing="0" w:after="120" w:afterAutospacing="0" w:line="276" w:lineRule="auto"/>
        <w:jc w:val="both"/>
        <w:rPr>
          <w:rFonts w:ascii="Calibri" w:hAnsi="Calibri" w:cs="Calibri"/>
          <w:sz w:val="22"/>
          <w:szCs w:val="22"/>
        </w:rPr>
      </w:pPr>
    </w:p>
    <w:p w14:paraId="7A7A1393" w14:textId="77777777" w:rsidR="008D1088" w:rsidRPr="006543B5" w:rsidRDefault="008D1088" w:rsidP="008D1088">
      <w:pPr>
        <w:pStyle w:val="Web"/>
        <w:spacing w:before="120" w:beforeAutospacing="0" w:after="120" w:afterAutospacing="0" w:line="276" w:lineRule="auto"/>
        <w:jc w:val="both"/>
        <w:rPr>
          <w:rFonts w:ascii="Calibri" w:hAnsi="Calibri" w:cs="Calibri"/>
          <w:sz w:val="22"/>
          <w:szCs w:val="22"/>
        </w:rPr>
      </w:pPr>
    </w:p>
    <w:sectPr w:rsidR="008D1088" w:rsidRPr="006543B5" w:rsidSect="00F56CCE">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8868" w14:textId="77777777" w:rsidR="0075721A" w:rsidRDefault="0075721A" w:rsidP="00AF313F">
      <w:pPr>
        <w:spacing w:after="0" w:line="240" w:lineRule="auto"/>
      </w:pPr>
      <w:r>
        <w:separator/>
      </w:r>
    </w:p>
  </w:endnote>
  <w:endnote w:type="continuationSeparator" w:id="0">
    <w:p w14:paraId="6C2C91D1" w14:textId="77777777" w:rsidR="0075721A" w:rsidRDefault="0075721A" w:rsidP="00AF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D7A" w14:textId="77777777" w:rsidR="00812B72" w:rsidRDefault="00F93D8B">
    <w:pPr>
      <w:pStyle w:val="a9"/>
      <w:jc w:val="right"/>
    </w:pPr>
    <w:r>
      <w:fldChar w:fldCharType="begin"/>
    </w:r>
    <w:r>
      <w:instrText>PAGE   \* MERGEFORMAT</w:instrText>
    </w:r>
    <w:r>
      <w:fldChar w:fldCharType="separate"/>
    </w:r>
    <w:r w:rsidR="001076B6">
      <w:rPr>
        <w:noProof/>
      </w:rPr>
      <w:t>46</w:t>
    </w:r>
    <w:r>
      <w:rPr>
        <w:noProof/>
      </w:rPr>
      <w:fldChar w:fldCharType="end"/>
    </w:r>
  </w:p>
  <w:p w14:paraId="31B60D7B" w14:textId="77777777" w:rsidR="00812B72" w:rsidRDefault="00812B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1E04" w14:textId="77777777" w:rsidR="0075721A" w:rsidRDefault="0075721A" w:rsidP="00AF313F">
      <w:pPr>
        <w:spacing w:after="0" w:line="240" w:lineRule="auto"/>
      </w:pPr>
      <w:r>
        <w:separator/>
      </w:r>
    </w:p>
  </w:footnote>
  <w:footnote w:type="continuationSeparator" w:id="0">
    <w:p w14:paraId="7D0B6A1F" w14:textId="77777777" w:rsidR="0075721A" w:rsidRDefault="0075721A" w:rsidP="00AF313F">
      <w:pPr>
        <w:spacing w:after="0" w:line="240" w:lineRule="auto"/>
      </w:pPr>
      <w:r>
        <w:continuationSeparator/>
      </w:r>
    </w:p>
  </w:footnote>
  <w:footnote w:id="1">
    <w:p w14:paraId="31B60D7C" w14:textId="77777777" w:rsidR="00812B72" w:rsidRDefault="00812B72" w:rsidP="00734190">
      <w:pPr>
        <w:pStyle w:val="aa"/>
      </w:pPr>
      <w:r>
        <w:rPr>
          <w:rStyle w:val="ab"/>
          <w:rFonts w:cs="Calibri"/>
        </w:rPr>
        <w:footnoteRef/>
      </w:r>
      <w:r>
        <w:t xml:space="preserve"> </w:t>
      </w:r>
      <w:hyperlink r:id="rId1" w:anchor="energy-poverty-in-the-eu" w:history="1">
        <w:r w:rsidRPr="00095940">
          <w:rPr>
            <w:rStyle w:val="-"/>
            <w:rFonts w:cs="Calibri"/>
          </w:rPr>
          <w:t>https://ec.europa.eu/energy/topics/markets-and-consumers/energy-consumer-rights/energy-poverty_en?redir=1#energy-poverty-in-the-eu</w:t>
        </w:r>
      </w:hyperlink>
    </w:p>
  </w:footnote>
  <w:footnote w:id="2">
    <w:p w14:paraId="35AE0465" w14:textId="5C505D17" w:rsidR="007549C4" w:rsidRPr="007549C4" w:rsidRDefault="007549C4">
      <w:pPr>
        <w:pStyle w:val="aa"/>
      </w:pPr>
      <w:r>
        <w:rPr>
          <w:rStyle w:val="ab"/>
        </w:rPr>
        <w:footnoteRef/>
      </w:r>
      <w:r>
        <w:t xml:space="preserve"> Παρ.</w:t>
      </w:r>
      <w:r w:rsidRPr="007549C4">
        <w:t xml:space="preserve"> 4 και 5 του </w:t>
      </w:r>
      <w:r>
        <w:t>ά</w:t>
      </w:r>
      <w:r w:rsidRPr="007549C4">
        <w:t>ρθρου 5 της Οδηγίας 2019/944/EE</w:t>
      </w:r>
      <w:r>
        <w:t>.</w:t>
      </w:r>
    </w:p>
  </w:footnote>
  <w:footnote w:id="3">
    <w:p w14:paraId="2F1BF7CB" w14:textId="12867149" w:rsidR="007549C4" w:rsidRDefault="007549C4">
      <w:pPr>
        <w:pStyle w:val="aa"/>
      </w:pPr>
      <w:r>
        <w:rPr>
          <w:rStyle w:val="ab"/>
        </w:rPr>
        <w:footnoteRef/>
      </w:r>
      <w:r>
        <w:t xml:space="preserve"> </w:t>
      </w:r>
      <w:r w:rsidRPr="007549C4">
        <w:t>Άρθρο 3 παρ</w:t>
      </w:r>
      <w:r>
        <w:t>.</w:t>
      </w:r>
      <w:r w:rsidRPr="007549C4">
        <w:t xml:space="preserve"> 3 στοιχείο δ) του Κανονισμού 2018/1999/ΕΕ.</w:t>
      </w:r>
    </w:p>
  </w:footnote>
  <w:footnote w:id="4">
    <w:p w14:paraId="6D55C2E0" w14:textId="6867CF60" w:rsidR="00A906E0" w:rsidRDefault="00A906E0">
      <w:pPr>
        <w:pStyle w:val="aa"/>
      </w:pPr>
      <w:r>
        <w:rPr>
          <w:rStyle w:val="ab"/>
        </w:rPr>
        <w:footnoteRef/>
      </w:r>
      <w:r>
        <w:t xml:space="preserve"> Άρθρο 24 </w:t>
      </w:r>
      <w:r w:rsidRPr="00A906E0">
        <w:t>του Κανονισμού 2018/1999/ΕΕ</w:t>
      </w:r>
      <w:r>
        <w:t>.</w:t>
      </w:r>
    </w:p>
  </w:footnote>
  <w:footnote w:id="5">
    <w:p w14:paraId="316A0D8A" w14:textId="6FB2AB87" w:rsidR="000C08B6" w:rsidRDefault="000C08B6">
      <w:pPr>
        <w:pStyle w:val="aa"/>
      </w:pPr>
      <w:r>
        <w:rPr>
          <w:rStyle w:val="ab"/>
        </w:rPr>
        <w:footnoteRef/>
      </w:r>
      <w:r>
        <w:t xml:space="preserve"> Άρθρο 28. </w:t>
      </w:r>
    </w:p>
  </w:footnote>
  <w:footnote w:id="6">
    <w:p w14:paraId="0CDF4929" w14:textId="3AF747EE" w:rsidR="000C08B6" w:rsidRDefault="000C08B6">
      <w:pPr>
        <w:pStyle w:val="aa"/>
      </w:pPr>
      <w:r>
        <w:rPr>
          <w:rStyle w:val="ab"/>
        </w:rPr>
        <w:footnoteRef/>
      </w:r>
      <w:r>
        <w:t xml:space="preserve"> Άρθρο 29.</w:t>
      </w:r>
    </w:p>
  </w:footnote>
  <w:footnote w:id="7">
    <w:p w14:paraId="7B71CF8E" w14:textId="0DE7DEEC" w:rsidR="00CB3CB5" w:rsidRPr="007549C4" w:rsidRDefault="00CB3CB5">
      <w:pPr>
        <w:pStyle w:val="aa"/>
      </w:pPr>
      <w:r w:rsidRPr="007549C4">
        <w:rPr>
          <w:rStyle w:val="ab"/>
        </w:rPr>
        <w:footnoteRef/>
      </w:r>
      <w:r w:rsidRPr="007549C4">
        <w:t xml:space="preserve"> Άρθρο 3 παρ</w:t>
      </w:r>
      <w:r w:rsidR="00A906E0">
        <w:t>.</w:t>
      </w:r>
      <w:r w:rsidRPr="007549C4">
        <w:t xml:space="preserve"> 3</w:t>
      </w:r>
      <w:r w:rsidR="00A906E0">
        <w:t>.</w:t>
      </w:r>
    </w:p>
  </w:footnote>
  <w:footnote w:id="8">
    <w:p w14:paraId="0984AC53" w14:textId="20A8401A" w:rsidR="00A906E0" w:rsidRDefault="00A906E0">
      <w:pPr>
        <w:pStyle w:val="aa"/>
      </w:pPr>
      <w:r w:rsidRPr="00A906E0">
        <w:rPr>
          <w:rStyle w:val="ab"/>
        </w:rPr>
        <w:footnoteRef/>
      </w:r>
      <w:r w:rsidRPr="00A906E0">
        <w:rPr>
          <w:rStyle w:val="ab"/>
        </w:rPr>
        <w:t xml:space="preserve"> </w:t>
      </w:r>
      <w:r w:rsidRPr="00A906E0">
        <w:t xml:space="preserve">Άρθρο </w:t>
      </w:r>
      <w:r>
        <w:t xml:space="preserve">8 παρ. 3. </w:t>
      </w:r>
    </w:p>
  </w:footnote>
  <w:footnote w:id="9">
    <w:p w14:paraId="01D9EE84" w14:textId="13BB59FE" w:rsidR="00A906E0" w:rsidRDefault="00A906E0">
      <w:pPr>
        <w:pStyle w:val="aa"/>
      </w:pPr>
      <w:r>
        <w:rPr>
          <w:rStyle w:val="ab"/>
        </w:rPr>
        <w:footnoteRef/>
      </w:r>
      <w:r>
        <w:t xml:space="preserve"> Άρθρο 5 παρ. 6. </w:t>
      </w:r>
    </w:p>
  </w:footnote>
  <w:footnote w:id="10">
    <w:p w14:paraId="0950AAB2" w14:textId="36F1F435" w:rsidR="000C08B6" w:rsidRDefault="000C08B6">
      <w:pPr>
        <w:pStyle w:val="aa"/>
      </w:pPr>
      <w:r>
        <w:rPr>
          <w:rStyle w:val="ab"/>
        </w:rPr>
        <w:footnoteRef/>
      </w:r>
      <w:r>
        <w:t xml:space="preserve"> Άρθρο 22. </w:t>
      </w:r>
    </w:p>
  </w:footnote>
  <w:footnote w:id="11">
    <w:p w14:paraId="575EAE56" w14:textId="2770877C" w:rsidR="000C08B6" w:rsidRDefault="000C08B6">
      <w:pPr>
        <w:pStyle w:val="aa"/>
      </w:pPr>
      <w:r>
        <w:rPr>
          <w:rStyle w:val="ab"/>
        </w:rPr>
        <w:footnoteRef/>
      </w:r>
      <w:r>
        <w:t xml:space="preserve"> Άρθρο 24. </w:t>
      </w:r>
    </w:p>
  </w:footnote>
  <w:footnote w:id="12">
    <w:p w14:paraId="1BC7E88F" w14:textId="355FC830" w:rsidR="000C08B6" w:rsidRDefault="000C08B6">
      <w:pPr>
        <w:pStyle w:val="aa"/>
      </w:pPr>
      <w:r>
        <w:rPr>
          <w:rStyle w:val="ab"/>
        </w:rPr>
        <w:footnoteRef/>
      </w:r>
      <w:r>
        <w:t xml:space="preserve"> Άρθρ</w:t>
      </w:r>
      <w:r w:rsidR="005349A0">
        <w:t>α 17 και 18</w:t>
      </w:r>
      <w:r>
        <w:t xml:space="preserve">. </w:t>
      </w:r>
    </w:p>
  </w:footnote>
  <w:footnote w:id="13">
    <w:p w14:paraId="360F68CC" w14:textId="7101F131" w:rsidR="000C08B6" w:rsidRDefault="000C08B6">
      <w:pPr>
        <w:pStyle w:val="aa"/>
      </w:pPr>
      <w:r>
        <w:rPr>
          <w:rStyle w:val="ab"/>
        </w:rPr>
        <w:footnoteRef/>
      </w:r>
      <w:r>
        <w:t xml:space="preserve"> Άρθρο 3. </w:t>
      </w:r>
    </w:p>
  </w:footnote>
  <w:footnote w:id="14">
    <w:p w14:paraId="7805E336" w14:textId="5FFA0ABF" w:rsidR="000C08B6" w:rsidRDefault="000C08B6">
      <w:pPr>
        <w:pStyle w:val="aa"/>
      </w:pPr>
      <w:r>
        <w:rPr>
          <w:rStyle w:val="ab"/>
        </w:rPr>
        <w:footnoteRef/>
      </w:r>
      <w:r>
        <w:t xml:space="preserve"> Άρθρο 52.</w:t>
      </w:r>
    </w:p>
  </w:footnote>
  <w:footnote w:id="15">
    <w:p w14:paraId="6830DC23" w14:textId="0B030C6D" w:rsidR="000C08B6" w:rsidRDefault="000C08B6">
      <w:pPr>
        <w:pStyle w:val="aa"/>
      </w:pPr>
      <w:r>
        <w:rPr>
          <w:rStyle w:val="ab"/>
        </w:rPr>
        <w:footnoteRef/>
      </w:r>
      <w:r>
        <w:t xml:space="preserve"> Άρθρο 52 παρ. 2. </w:t>
      </w:r>
    </w:p>
  </w:footnote>
  <w:footnote w:id="16">
    <w:p w14:paraId="0C0F6982" w14:textId="2EB67B4C" w:rsidR="000C08B6" w:rsidRDefault="000C08B6">
      <w:pPr>
        <w:pStyle w:val="aa"/>
      </w:pPr>
      <w:r>
        <w:rPr>
          <w:rStyle w:val="ab"/>
        </w:rPr>
        <w:footnoteRef/>
      </w:r>
      <w:r>
        <w:t xml:space="preserve"> Άρθρο 48. </w:t>
      </w:r>
    </w:p>
  </w:footnote>
  <w:footnote w:id="17">
    <w:p w14:paraId="0BDE0A5A" w14:textId="362A57CF" w:rsidR="00276D90" w:rsidRDefault="00276D90">
      <w:pPr>
        <w:pStyle w:val="aa"/>
      </w:pPr>
      <w:r>
        <w:rPr>
          <w:rStyle w:val="ab"/>
        </w:rPr>
        <w:footnoteRef/>
      </w:r>
      <w:r>
        <w:t xml:space="preserve"> </w:t>
      </w:r>
      <w:r w:rsidRPr="00276D90">
        <w:t>Υπουργική Απόφαση υπ’ αριθ. Δ5-ΗΛ/Β/Φ29/16027/06-08-2010 (ΦΕΚ Β' 1403/06-08-2010)</w:t>
      </w:r>
      <w:r>
        <w:t>.</w:t>
      </w:r>
    </w:p>
  </w:footnote>
  <w:footnote w:id="18">
    <w:p w14:paraId="53FC9CC1" w14:textId="789DCD18" w:rsidR="00276D90" w:rsidRDefault="00276D90">
      <w:pPr>
        <w:pStyle w:val="aa"/>
      </w:pPr>
      <w:r>
        <w:rPr>
          <w:rStyle w:val="ab"/>
        </w:rPr>
        <w:footnoteRef/>
      </w:r>
      <w:r>
        <w:t xml:space="preserve"> </w:t>
      </w:r>
      <w:r w:rsidR="007561D6" w:rsidRPr="007561D6">
        <w:t>Υπουργική Απόφαση ΥΠΕΝ/ΔΗΕ/78337/224/06-11-2018 (ΦΕΚ Β’ 5030/13-11-2018), με την οποία τροποποιήθηκε η Υπουργική Απόφαση Δ5-ΗΛ/Β/Φ1.21/12112/20-06-2013 (ΦΕΚ Β’ 1521/21-06-2013)</w:t>
      </w:r>
      <w:r w:rsidR="007561D6">
        <w:t>.</w:t>
      </w:r>
    </w:p>
  </w:footnote>
  <w:footnote w:id="19">
    <w:p w14:paraId="55FA5331" w14:textId="1BD0C785" w:rsidR="00B71308" w:rsidRDefault="00B71308">
      <w:pPr>
        <w:pStyle w:val="aa"/>
      </w:pPr>
      <w:r>
        <w:rPr>
          <w:rStyle w:val="ab"/>
        </w:rPr>
        <w:footnoteRef/>
      </w:r>
      <w:r>
        <w:t xml:space="preserve"> </w:t>
      </w:r>
      <w:r w:rsidRPr="00B71308">
        <w:t>όπως τροποποιήθηκε με την Υπουργική Απόφαση υπ’ αριθ. ΑΠΕΗΛ/Γ/Φ1/οικ.177367/24-05-2016 (ΦΕΚ Β’ 1463/24-05-2016)</w:t>
      </w:r>
      <w:r>
        <w:t>.</w:t>
      </w:r>
    </w:p>
  </w:footnote>
  <w:footnote w:id="20">
    <w:p w14:paraId="40543CB6" w14:textId="77777777" w:rsidR="004B7160" w:rsidRDefault="004B7160" w:rsidP="004B7160">
      <w:pPr>
        <w:pStyle w:val="aa"/>
      </w:pPr>
      <w:r>
        <w:rPr>
          <w:rStyle w:val="ab"/>
        </w:rPr>
        <w:footnoteRef/>
      </w:r>
      <w:r>
        <w:t xml:space="preserve"> </w:t>
      </w:r>
      <w:r w:rsidRPr="00B71308">
        <w:t>Άρθρο 36 του Νόμου 4508/2017 (ΦΕΚ Α’ 200/22-12-2017)</w:t>
      </w:r>
      <w:r>
        <w:t>.</w:t>
      </w:r>
    </w:p>
  </w:footnote>
  <w:footnote w:id="21">
    <w:p w14:paraId="6DFF3AEA" w14:textId="77777777" w:rsidR="00247B2D" w:rsidRPr="00247B2D" w:rsidRDefault="00247B2D" w:rsidP="00247B2D">
      <w:pPr>
        <w:pStyle w:val="aa"/>
      </w:pPr>
      <w:r>
        <w:rPr>
          <w:rStyle w:val="ab"/>
        </w:rPr>
        <w:footnoteRef/>
      </w:r>
      <w:r>
        <w:t xml:space="preserve"> </w:t>
      </w:r>
      <w:r w:rsidRPr="00247B2D">
        <w:t>Κοινή Υπουργική Απόφαση υπ’ αριθ. ΥΠΕΝ/ΔΗΕ/109471/1763/22-11-2021 (ΦΕΚ Β’/5402/22-11-2021).</w:t>
      </w:r>
    </w:p>
    <w:p w14:paraId="2DC02CC3" w14:textId="7384072F" w:rsidR="00247B2D" w:rsidRDefault="00247B2D">
      <w:pPr>
        <w:pStyle w:val="aa"/>
      </w:pPr>
    </w:p>
  </w:footnote>
  <w:footnote w:id="22">
    <w:p w14:paraId="02DB67B5" w14:textId="6645B5D9" w:rsidR="004B0F0E" w:rsidRDefault="004B0F0E">
      <w:pPr>
        <w:pStyle w:val="aa"/>
      </w:pPr>
      <w:r>
        <w:rPr>
          <w:rStyle w:val="ab"/>
        </w:rPr>
        <w:footnoteRef/>
      </w:r>
      <w:r>
        <w:t xml:space="preserve"> </w:t>
      </w:r>
      <w:r w:rsidRPr="004B0F0E">
        <w:t>Υπουργική Απόφαση υπ’ αριθ. Α.1243 (ΦΕΚ Β’ 5298/15-11-2021)</w:t>
      </w:r>
      <w:r>
        <w:t>.</w:t>
      </w:r>
    </w:p>
  </w:footnote>
  <w:footnote w:id="23">
    <w:p w14:paraId="2D0C4EAC" w14:textId="7D14B5BA" w:rsidR="00B12E56" w:rsidRPr="00D24517" w:rsidRDefault="00B12E56">
      <w:pPr>
        <w:pStyle w:val="aa"/>
      </w:pPr>
      <w:r>
        <w:rPr>
          <w:rStyle w:val="ab"/>
        </w:rPr>
        <w:footnoteRef/>
      </w:r>
      <w:r>
        <w:t xml:space="preserve"> </w:t>
      </w:r>
      <w:r w:rsidRPr="00D24517">
        <w:t>ΥΠΕΝ/ΔΕΠΕΑ/102848/1035/20-11-2019 (ΦΕΚ Β' 4237/20-11-2019)</w:t>
      </w:r>
      <w:r w:rsidR="00D24517">
        <w:t>.</w:t>
      </w:r>
      <w:r w:rsidR="00D24517" w:rsidRPr="00D24517">
        <w:t xml:space="preserve"> </w:t>
      </w:r>
    </w:p>
  </w:footnote>
  <w:footnote w:id="24">
    <w:p w14:paraId="43DD7A9D" w14:textId="1E8C96E2" w:rsidR="00B12E56" w:rsidRPr="00D24517" w:rsidRDefault="00B12E56">
      <w:pPr>
        <w:pStyle w:val="aa"/>
      </w:pPr>
      <w:r w:rsidRPr="00D24517">
        <w:rPr>
          <w:rStyle w:val="ab"/>
        </w:rPr>
        <w:footnoteRef/>
      </w:r>
      <w:r w:rsidRPr="00D24517">
        <w:t xml:space="preserve"> Νόμος 4513/2018 (ΦΕΚ Α’ 9/23-01-2018)</w:t>
      </w:r>
      <w:r w:rsidR="00D24517">
        <w:t>.</w:t>
      </w:r>
    </w:p>
  </w:footnote>
  <w:footnote w:id="25">
    <w:p w14:paraId="7DADB0B6" w14:textId="2EC8AE33" w:rsidR="00D24517" w:rsidRDefault="00D24517">
      <w:pPr>
        <w:pStyle w:val="aa"/>
      </w:pPr>
      <w:r>
        <w:rPr>
          <w:rStyle w:val="ab"/>
        </w:rPr>
        <w:footnoteRef/>
      </w:r>
      <w:r>
        <w:t xml:space="preserve"> </w:t>
      </w:r>
      <w:r w:rsidRPr="00D24517">
        <w:t>Γνωμοδότηση ΡΑΕ 11/2019)</w:t>
      </w:r>
      <w:r>
        <w:t>.</w:t>
      </w:r>
    </w:p>
  </w:footnote>
  <w:footnote w:id="26">
    <w:p w14:paraId="71CCD0A7" w14:textId="18A57730" w:rsidR="00D24517" w:rsidRDefault="00D24517">
      <w:pPr>
        <w:pStyle w:val="aa"/>
      </w:pPr>
      <w:r>
        <w:rPr>
          <w:rStyle w:val="ab"/>
        </w:rPr>
        <w:footnoteRef/>
      </w:r>
      <w:r>
        <w:t xml:space="preserve"> </w:t>
      </w:r>
      <w:r w:rsidRPr="00D24517">
        <w:t>Απόφαση ΡΑΕ 759/2020</w:t>
      </w:r>
      <w:r>
        <w:t>.</w:t>
      </w:r>
    </w:p>
  </w:footnote>
  <w:footnote w:id="27">
    <w:p w14:paraId="0E833D55" w14:textId="61EF9C35" w:rsidR="00D24517" w:rsidRDefault="00D24517">
      <w:pPr>
        <w:pStyle w:val="aa"/>
      </w:pPr>
      <w:r>
        <w:rPr>
          <w:rStyle w:val="ab"/>
        </w:rPr>
        <w:footnoteRef/>
      </w:r>
      <w:r>
        <w:t xml:space="preserve"> </w:t>
      </w:r>
      <w:r w:rsidRPr="00D24517">
        <w:t>(</w:t>
      </w:r>
      <w:hyperlink r:id="rId2" w:history="1">
        <w:r w:rsidRPr="00D24517">
          <w:rPr>
            <w:rStyle w:val="-"/>
            <w:rFonts w:cs="Calibri"/>
          </w:rPr>
          <w:t>https://www.energycost.gr/</w:t>
        </w:r>
      </w:hyperlink>
      <w:r w:rsidRPr="00D24517">
        <w:t>)</w:t>
      </w:r>
    </w:p>
  </w:footnote>
  <w:footnote w:id="28">
    <w:p w14:paraId="31B60D7D" w14:textId="77777777" w:rsidR="00812B72" w:rsidRDefault="00812B72">
      <w:pPr>
        <w:pStyle w:val="aa"/>
      </w:pPr>
      <w:r>
        <w:rPr>
          <w:rStyle w:val="ab"/>
          <w:rFonts w:cs="Calibri"/>
        </w:rPr>
        <w:footnoteRef/>
      </w:r>
      <w:r w:rsidRPr="00F95BFF">
        <w:t xml:space="preserve"> </w:t>
      </w:r>
      <w:hyperlink r:id="rId3" w:history="1">
        <w:r w:rsidRPr="0024232E">
          <w:rPr>
            <w:rStyle w:val="-"/>
            <w:rFonts w:cs="Calibri"/>
            <w:lang w:val="en-US"/>
          </w:rPr>
          <w:t>https</w:t>
        </w:r>
        <w:r w:rsidRPr="00F95BFF">
          <w:rPr>
            <w:rStyle w:val="-"/>
            <w:rFonts w:cs="Calibri"/>
          </w:rPr>
          <w:t>://</w:t>
        </w:r>
        <w:r w:rsidRPr="0024232E">
          <w:rPr>
            <w:rStyle w:val="-"/>
            <w:rFonts w:cs="Calibri"/>
            <w:lang w:val="en-US"/>
          </w:rPr>
          <w:t>www</w:t>
        </w:r>
        <w:r w:rsidRPr="00F95BFF">
          <w:rPr>
            <w:rStyle w:val="-"/>
            <w:rFonts w:cs="Calibri"/>
          </w:rPr>
          <w:t>.</w:t>
        </w:r>
        <w:r w:rsidRPr="0024232E">
          <w:rPr>
            <w:rStyle w:val="-"/>
            <w:rFonts w:cs="Calibri"/>
            <w:lang w:val="en-US"/>
          </w:rPr>
          <w:t>energypoverty</w:t>
        </w:r>
        <w:r w:rsidRPr="00F95BFF">
          <w:rPr>
            <w:rStyle w:val="-"/>
            <w:rFonts w:cs="Calibri"/>
          </w:rPr>
          <w:t>.</w:t>
        </w:r>
        <w:r w:rsidRPr="0024232E">
          <w:rPr>
            <w:rStyle w:val="-"/>
            <w:rFonts w:cs="Calibri"/>
            <w:lang w:val="en-US"/>
          </w:rPr>
          <w:t>eu</w:t>
        </w:r>
        <w:r w:rsidRPr="00F95BFF">
          <w:rPr>
            <w:rStyle w:val="-"/>
            <w:rFonts w:cs="Calibri"/>
          </w:rPr>
          <w:t>/</w:t>
        </w:r>
        <w:r w:rsidRPr="0024232E">
          <w:rPr>
            <w:rStyle w:val="-"/>
            <w:rFonts w:cs="Calibri"/>
            <w:lang w:val="en-US"/>
          </w:rPr>
          <w:t>indicators</w:t>
        </w:r>
        <w:r w:rsidRPr="00F95BFF">
          <w:rPr>
            <w:rStyle w:val="-"/>
            <w:rFonts w:cs="Calibri"/>
          </w:rPr>
          <w:t>-</w:t>
        </w:r>
        <w:r w:rsidRPr="0024232E">
          <w:rPr>
            <w:rStyle w:val="-"/>
            <w:rFonts w:cs="Calibri"/>
            <w:lang w:val="en-US"/>
          </w:rPr>
          <w:t>data</w:t>
        </w:r>
      </w:hyperlink>
    </w:p>
  </w:footnote>
  <w:footnote w:id="29">
    <w:p w14:paraId="7676956B" w14:textId="087AD79E" w:rsidR="00A7366F" w:rsidRDefault="00A7366F">
      <w:pPr>
        <w:pStyle w:val="aa"/>
      </w:pPr>
      <w:r>
        <w:rPr>
          <w:rStyle w:val="ab"/>
        </w:rPr>
        <w:footnoteRef/>
      </w:r>
      <w:r>
        <w:t xml:space="preserve"> </w:t>
      </w:r>
      <w:r w:rsidRPr="00A7366F">
        <w:t>Υπουργική Απόφαση ΥΠΕΝ/ΔΕΠΕΑ/36803/264/05.04.2024/ΦΕΚ Β’ 4200</w:t>
      </w:r>
      <w:r>
        <w:t>.</w:t>
      </w:r>
    </w:p>
  </w:footnote>
  <w:footnote w:id="30">
    <w:p w14:paraId="059C4174" w14:textId="4BFDC719" w:rsidR="00956E0A" w:rsidRDefault="00956E0A">
      <w:pPr>
        <w:pStyle w:val="aa"/>
      </w:pPr>
      <w:r>
        <w:rPr>
          <w:rStyle w:val="ab"/>
        </w:rPr>
        <w:footnoteRef/>
      </w:r>
      <w:r>
        <w:t xml:space="preserve"> </w:t>
      </w:r>
      <w:r w:rsidR="004C5E26">
        <w:t>Άρθρο 55 ν. 4001/2011</w:t>
      </w:r>
      <w:r>
        <w:t xml:space="preserve"> </w:t>
      </w:r>
      <w:r w:rsidRPr="004B0F0E">
        <w:t xml:space="preserve">(ΦΕΚ </w:t>
      </w:r>
      <w:r>
        <w:t>Α</w:t>
      </w:r>
      <w:r w:rsidRPr="004B0F0E">
        <w:t>’</w:t>
      </w:r>
      <w:r w:rsidR="004C5E26">
        <w:t xml:space="preserve"> 179</w:t>
      </w:r>
      <w:r w:rsidRPr="004B0F0E">
        <w:t>)</w:t>
      </w:r>
      <w:r>
        <w:t>.</w:t>
      </w:r>
    </w:p>
  </w:footnote>
  <w:footnote w:id="31">
    <w:p w14:paraId="0ED2466B" w14:textId="72D04BB9" w:rsidR="00956E0A" w:rsidRDefault="00956E0A">
      <w:pPr>
        <w:pStyle w:val="aa"/>
      </w:pPr>
      <w:r>
        <w:rPr>
          <w:rStyle w:val="ab"/>
        </w:rPr>
        <w:footnoteRef/>
      </w:r>
      <w:r>
        <w:t xml:space="preserve"> </w:t>
      </w:r>
      <w:r w:rsidR="001319B5">
        <w:t>Άρθρο 14 ν. 3468/2006 (ΦΕΚ Α’ 129) και ά</w:t>
      </w:r>
      <w:r w:rsidR="007264D5">
        <w:t>ρθρο 137Β ν. 4001/2011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1DE"/>
    <w:multiLevelType w:val="hybridMultilevel"/>
    <w:tmpl w:val="EE0E0D5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6F21DA4"/>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3F045B"/>
    <w:multiLevelType w:val="hybridMultilevel"/>
    <w:tmpl w:val="7360CC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84307"/>
    <w:multiLevelType w:val="multilevel"/>
    <w:tmpl w:val="36B0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A06FE"/>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BA27C95"/>
    <w:multiLevelType w:val="hybridMultilevel"/>
    <w:tmpl w:val="E8C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52F1A"/>
    <w:multiLevelType w:val="hybridMultilevel"/>
    <w:tmpl w:val="48D8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55315"/>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FB66466"/>
    <w:multiLevelType w:val="hybridMultilevel"/>
    <w:tmpl w:val="D3ECC47E"/>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0D0399F"/>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30971F7"/>
    <w:multiLevelType w:val="hybridMultilevel"/>
    <w:tmpl w:val="B4442586"/>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178342DA"/>
    <w:multiLevelType w:val="hybridMultilevel"/>
    <w:tmpl w:val="DB5CD9F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181B75D9"/>
    <w:multiLevelType w:val="hybridMultilevel"/>
    <w:tmpl w:val="B680EC6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18E41878"/>
    <w:multiLevelType w:val="hybridMultilevel"/>
    <w:tmpl w:val="ED44F066"/>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15:restartNumberingAfterBreak="0">
    <w:nsid w:val="1C3E1B2E"/>
    <w:multiLevelType w:val="hybridMultilevel"/>
    <w:tmpl w:val="C6DA4A52"/>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5" w15:restartNumberingAfterBreak="0">
    <w:nsid w:val="1CF64278"/>
    <w:multiLevelType w:val="hybridMultilevel"/>
    <w:tmpl w:val="79A8B90E"/>
    <w:lvl w:ilvl="0" w:tplc="0408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0E4425"/>
    <w:multiLevelType w:val="multilevel"/>
    <w:tmpl w:val="6E9E296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color w:val="00206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1E7821B8"/>
    <w:multiLevelType w:val="hybridMultilevel"/>
    <w:tmpl w:val="A33A8D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1E95042A"/>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1F46655F"/>
    <w:multiLevelType w:val="hybridMultilevel"/>
    <w:tmpl w:val="9716AA20"/>
    <w:lvl w:ilvl="0" w:tplc="0F8AA188">
      <w:start w:val="1"/>
      <w:numFmt w:val="bullet"/>
      <w:lvlText w:val=""/>
      <w:lvlJc w:val="left"/>
      <w:pPr>
        <w:tabs>
          <w:tab w:val="num" w:pos="720"/>
        </w:tabs>
        <w:ind w:left="720" w:hanging="360"/>
      </w:pPr>
      <w:rPr>
        <w:rFonts w:ascii="Wingdings" w:hAnsi="Wingdings" w:hint="default"/>
      </w:rPr>
    </w:lvl>
    <w:lvl w:ilvl="1" w:tplc="7E981A76" w:tentative="1">
      <w:start w:val="1"/>
      <w:numFmt w:val="bullet"/>
      <w:lvlText w:val=""/>
      <w:lvlJc w:val="left"/>
      <w:pPr>
        <w:tabs>
          <w:tab w:val="num" w:pos="1440"/>
        </w:tabs>
        <w:ind w:left="1440" w:hanging="360"/>
      </w:pPr>
      <w:rPr>
        <w:rFonts w:ascii="Wingdings" w:hAnsi="Wingdings" w:hint="default"/>
      </w:rPr>
    </w:lvl>
    <w:lvl w:ilvl="2" w:tplc="85EE65B4" w:tentative="1">
      <w:start w:val="1"/>
      <w:numFmt w:val="bullet"/>
      <w:lvlText w:val=""/>
      <w:lvlJc w:val="left"/>
      <w:pPr>
        <w:tabs>
          <w:tab w:val="num" w:pos="2160"/>
        </w:tabs>
        <w:ind w:left="2160" w:hanging="360"/>
      </w:pPr>
      <w:rPr>
        <w:rFonts w:ascii="Wingdings" w:hAnsi="Wingdings" w:hint="default"/>
      </w:rPr>
    </w:lvl>
    <w:lvl w:ilvl="3" w:tplc="057A5818" w:tentative="1">
      <w:start w:val="1"/>
      <w:numFmt w:val="bullet"/>
      <w:lvlText w:val=""/>
      <w:lvlJc w:val="left"/>
      <w:pPr>
        <w:tabs>
          <w:tab w:val="num" w:pos="2880"/>
        </w:tabs>
        <w:ind w:left="2880" w:hanging="360"/>
      </w:pPr>
      <w:rPr>
        <w:rFonts w:ascii="Wingdings" w:hAnsi="Wingdings" w:hint="default"/>
      </w:rPr>
    </w:lvl>
    <w:lvl w:ilvl="4" w:tplc="2B001892" w:tentative="1">
      <w:start w:val="1"/>
      <w:numFmt w:val="bullet"/>
      <w:lvlText w:val=""/>
      <w:lvlJc w:val="left"/>
      <w:pPr>
        <w:tabs>
          <w:tab w:val="num" w:pos="3600"/>
        </w:tabs>
        <w:ind w:left="3600" w:hanging="360"/>
      </w:pPr>
      <w:rPr>
        <w:rFonts w:ascii="Wingdings" w:hAnsi="Wingdings" w:hint="default"/>
      </w:rPr>
    </w:lvl>
    <w:lvl w:ilvl="5" w:tplc="E216FB4C" w:tentative="1">
      <w:start w:val="1"/>
      <w:numFmt w:val="bullet"/>
      <w:lvlText w:val=""/>
      <w:lvlJc w:val="left"/>
      <w:pPr>
        <w:tabs>
          <w:tab w:val="num" w:pos="4320"/>
        </w:tabs>
        <w:ind w:left="4320" w:hanging="360"/>
      </w:pPr>
      <w:rPr>
        <w:rFonts w:ascii="Wingdings" w:hAnsi="Wingdings" w:hint="default"/>
      </w:rPr>
    </w:lvl>
    <w:lvl w:ilvl="6" w:tplc="2D046BE4" w:tentative="1">
      <w:start w:val="1"/>
      <w:numFmt w:val="bullet"/>
      <w:lvlText w:val=""/>
      <w:lvlJc w:val="left"/>
      <w:pPr>
        <w:tabs>
          <w:tab w:val="num" w:pos="5040"/>
        </w:tabs>
        <w:ind w:left="5040" w:hanging="360"/>
      </w:pPr>
      <w:rPr>
        <w:rFonts w:ascii="Wingdings" w:hAnsi="Wingdings" w:hint="default"/>
      </w:rPr>
    </w:lvl>
    <w:lvl w:ilvl="7" w:tplc="900EE894" w:tentative="1">
      <w:start w:val="1"/>
      <w:numFmt w:val="bullet"/>
      <w:lvlText w:val=""/>
      <w:lvlJc w:val="left"/>
      <w:pPr>
        <w:tabs>
          <w:tab w:val="num" w:pos="5760"/>
        </w:tabs>
        <w:ind w:left="5760" w:hanging="360"/>
      </w:pPr>
      <w:rPr>
        <w:rFonts w:ascii="Wingdings" w:hAnsi="Wingdings" w:hint="default"/>
      </w:rPr>
    </w:lvl>
    <w:lvl w:ilvl="8" w:tplc="0DFA983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762F08"/>
    <w:multiLevelType w:val="hybridMultilevel"/>
    <w:tmpl w:val="F38AB3F2"/>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1" w15:restartNumberingAfterBreak="0">
    <w:nsid w:val="28E21DAE"/>
    <w:multiLevelType w:val="hybridMultilevel"/>
    <w:tmpl w:val="AB1CEB7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29666D2D"/>
    <w:multiLevelType w:val="hybridMultilevel"/>
    <w:tmpl w:val="4B88203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2A99706D"/>
    <w:multiLevelType w:val="hybridMultilevel"/>
    <w:tmpl w:val="45DA0C9C"/>
    <w:lvl w:ilvl="0" w:tplc="04080013">
      <w:start w:val="1"/>
      <w:numFmt w:val="upperRoman"/>
      <w:lvlText w:val="%1."/>
      <w:lvlJc w:val="righ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2B69285C"/>
    <w:multiLevelType w:val="hybridMultilevel"/>
    <w:tmpl w:val="45DA0C9C"/>
    <w:lvl w:ilvl="0" w:tplc="04080013">
      <w:start w:val="1"/>
      <w:numFmt w:val="upperRoman"/>
      <w:lvlText w:val="%1."/>
      <w:lvlJc w:val="righ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2CC70ABB"/>
    <w:multiLevelType w:val="hybridMultilevel"/>
    <w:tmpl w:val="F1B661F2"/>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9D223A"/>
    <w:multiLevelType w:val="hybridMultilevel"/>
    <w:tmpl w:val="9698C58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2FDB2D37"/>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0F27D6D"/>
    <w:multiLevelType w:val="hybridMultilevel"/>
    <w:tmpl w:val="5ECE685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4027F1"/>
    <w:multiLevelType w:val="hybridMultilevel"/>
    <w:tmpl w:val="17CA0046"/>
    <w:lvl w:ilvl="0" w:tplc="04080013">
      <w:start w:val="1"/>
      <w:numFmt w:val="upperRoman"/>
      <w:lvlText w:val="%1."/>
      <w:lvlJc w:val="righ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33D82CDB"/>
    <w:multiLevelType w:val="hybridMultilevel"/>
    <w:tmpl w:val="15D034F0"/>
    <w:lvl w:ilvl="0" w:tplc="040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A24217"/>
    <w:multiLevelType w:val="hybridMultilevel"/>
    <w:tmpl w:val="C0EEF21C"/>
    <w:lvl w:ilvl="0" w:tplc="040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923038"/>
    <w:multiLevelType w:val="hybridMultilevel"/>
    <w:tmpl w:val="CF020F60"/>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3" w15:restartNumberingAfterBreak="0">
    <w:nsid w:val="38E6106B"/>
    <w:multiLevelType w:val="hybridMultilevel"/>
    <w:tmpl w:val="3B40741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4" w15:restartNumberingAfterBreak="0">
    <w:nsid w:val="3DD02355"/>
    <w:multiLevelType w:val="hybridMultilevel"/>
    <w:tmpl w:val="8FECE4DE"/>
    <w:lvl w:ilvl="0" w:tplc="64CEB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CA1655"/>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40937710"/>
    <w:multiLevelType w:val="hybridMultilevel"/>
    <w:tmpl w:val="E1DA1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133329"/>
    <w:multiLevelType w:val="hybridMultilevel"/>
    <w:tmpl w:val="BFDAAE84"/>
    <w:lvl w:ilvl="0" w:tplc="04080001">
      <w:start w:val="1"/>
      <w:numFmt w:val="bullet"/>
      <w:lvlText w:val=""/>
      <w:lvlJc w:val="left"/>
      <w:pPr>
        <w:ind w:left="720" w:hanging="360"/>
      </w:pPr>
      <w:rPr>
        <w:rFonts w:ascii="Symbol" w:hAnsi="Symbol" w:hint="default"/>
      </w:rPr>
    </w:lvl>
    <w:lvl w:ilvl="1" w:tplc="983CC06E">
      <w:numFmt w:val="bullet"/>
      <w:lvlText w:val="•"/>
      <w:lvlJc w:val="left"/>
      <w:pPr>
        <w:ind w:left="1440" w:hanging="360"/>
      </w:pPr>
      <w:rPr>
        <w:rFonts w:ascii="Calibri" w:eastAsia="Times New Roman" w:hAnsi="Calibri"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8" w15:restartNumberingAfterBreak="0">
    <w:nsid w:val="43EE36A9"/>
    <w:multiLevelType w:val="hybridMultilevel"/>
    <w:tmpl w:val="3B3E2B44"/>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9" w15:restartNumberingAfterBreak="0">
    <w:nsid w:val="44233981"/>
    <w:multiLevelType w:val="hybridMultilevel"/>
    <w:tmpl w:val="74E8654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0" w15:restartNumberingAfterBreak="0">
    <w:nsid w:val="46137FF4"/>
    <w:multiLevelType w:val="hybridMultilevel"/>
    <w:tmpl w:val="04F445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1" w15:restartNumberingAfterBreak="0">
    <w:nsid w:val="4B071188"/>
    <w:multiLevelType w:val="hybridMultilevel"/>
    <w:tmpl w:val="9E0A6AE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2" w15:restartNumberingAfterBreak="0">
    <w:nsid w:val="4B39153F"/>
    <w:multiLevelType w:val="hybridMultilevel"/>
    <w:tmpl w:val="A98E45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3" w15:restartNumberingAfterBreak="0">
    <w:nsid w:val="4F3C03A9"/>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535A7509"/>
    <w:multiLevelType w:val="hybridMultilevel"/>
    <w:tmpl w:val="45DA0C9C"/>
    <w:lvl w:ilvl="0" w:tplc="04080013">
      <w:start w:val="1"/>
      <w:numFmt w:val="upperRoman"/>
      <w:lvlText w:val="%1."/>
      <w:lvlJc w:val="righ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5" w15:restartNumberingAfterBreak="0">
    <w:nsid w:val="53872B13"/>
    <w:multiLevelType w:val="hybridMultilevel"/>
    <w:tmpl w:val="880841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547136D1"/>
    <w:multiLevelType w:val="hybridMultilevel"/>
    <w:tmpl w:val="F1B661F2"/>
    <w:lvl w:ilvl="0" w:tplc="0408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374EBD"/>
    <w:multiLevelType w:val="hybridMultilevel"/>
    <w:tmpl w:val="FA8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B1186E"/>
    <w:multiLevelType w:val="hybridMultilevel"/>
    <w:tmpl w:val="C4708B9E"/>
    <w:lvl w:ilvl="0" w:tplc="0408000D">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9" w15:restartNumberingAfterBreak="0">
    <w:nsid w:val="5E9247CC"/>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623974DE"/>
    <w:multiLevelType w:val="hybridMultilevel"/>
    <w:tmpl w:val="6F72C604"/>
    <w:lvl w:ilvl="0" w:tplc="0408000D">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1" w15:restartNumberingAfterBreak="0">
    <w:nsid w:val="628C5AFD"/>
    <w:multiLevelType w:val="hybridMultilevel"/>
    <w:tmpl w:val="6024DFDC"/>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2" w15:restartNumberingAfterBreak="0">
    <w:nsid w:val="62B333FA"/>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66E818C9"/>
    <w:multiLevelType w:val="hybridMultilevel"/>
    <w:tmpl w:val="22C2B466"/>
    <w:lvl w:ilvl="0" w:tplc="04080013">
      <w:start w:val="1"/>
      <w:numFmt w:val="upperRoman"/>
      <w:lvlText w:val="%1."/>
      <w:lvlJc w:val="righ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4" w15:restartNumberingAfterBreak="0">
    <w:nsid w:val="66FF2151"/>
    <w:multiLevelType w:val="hybridMultilevel"/>
    <w:tmpl w:val="7610C066"/>
    <w:lvl w:ilvl="0" w:tplc="0408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222658"/>
    <w:multiLevelType w:val="hybridMultilevel"/>
    <w:tmpl w:val="61544790"/>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6" w15:restartNumberingAfterBreak="0">
    <w:nsid w:val="68571C59"/>
    <w:multiLevelType w:val="hybridMultilevel"/>
    <w:tmpl w:val="6E02AB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7" w15:restartNumberingAfterBreak="0">
    <w:nsid w:val="6910578A"/>
    <w:multiLevelType w:val="hybridMultilevel"/>
    <w:tmpl w:val="6AAC9ED0"/>
    <w:lvl w:ilvl="0" w:tplc="040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971570E"/>
    <w:multiLevelType w:val="hybridMultilevel"/>
    <w:tmpl w:val="1C5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4B55"/>
    <w:multiLevelType w:val="hybridMultilevel"/>
    <w:tmpl w:val="7B5A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227115"/>
    <w:multiLevelType w:val="hybridMultilevel"/>
    <w:tmpl w:val="EF925D04"/>
    <w:lvl w:ilvl="0" w:tplc="C0DC47E0">
      <w:start w:val="1"/>
      <w:numFmt w:val="bullet"/>
      <w:lvlText w:val="•"/>
      <w:lvlJc w:val="left"/>
      <w:pPr>
        <w:tabs>
          <w:tab w:val="num" w:pos="720"/>
        </w:tabs>
        <w:ind w:left="720" w:hanging="360"/>
      </w:pPr>
      <w:rPr>
        <w:rFonts w:ascii="Calibri" w:hAnsi="Calibri" w:hint="default"/>
      </w:rPr>
    </w:lvl>
    <w:lvl w:ilvl="1" w:tplc="ED208FD4" w:tentative="1">
      <w:start w:val="1"/>
      <w:numFmt w:val="bullet"/>
      <w:lvlText w:val="•"/>
      <w:lvlJc w:val="left"/>
      <w:pPr>
        <w:tabs>
          <w:tab w:val="num" w:pos="1440"/>
        </w:tabs>
        <w:ind w:left="1440" w:hanging="360"/>
      </w:pPr>
      <w:rPr>
        <w:rFonts w:ascii="Calibri" w:hAnsi="Calibri" w:hint="default"/>
      </w:rPr>
    </w:lvl>
    <w:lvl w:ilvl="2" w:tplc="3B36D47A" w:tentative="1">
      <w:start w:val="1"/>
      <w:numFmt w:val="bullet"/>
      <w:lvlText w:val="•"/>
      <w:lvlJc w:val="left"/>
      <w:pPr>
        <w:tabs>
          <w:tab w:val="num" w:pos="2160"/>
        </w:tabs>
        <w:ind w:left="2160" w:hanging="360"/>
      </w:pPr>
      <w:rPr>
        <w:rFonts w:ascii="Calibri" w:hAnsi="Calibri" w:hint="default"/>
      </w:rPr>
    </w:lvl>
    <w:lvl w:ilvl="3" w:tplc="F2288F98" w:tentative="1">
      <w:start w:val="1"/>
      <w:numFmt w:val="bullet"/>
      <w:lvlText w:val="•"/>
      <w:lvlJc w:val="left"/>
      <w:pPr>
        <w:tabs>
          <w:tab w:val="num" w:pos="2880"/>
        </w:tabs>
        <w:ind w:left="2880" w:hanging="360"/>
      </w:pPr>
      <w:rPr>
        <w:rFonts w:ascii="Calibri" w:hAnsi="Calibri" w:hint="default"/>
      </w:rPr>
    </w:lvl>
    <w:lvl w:ilvl="4" w:tplc="47863164" w:tentative="1">
      <w:start w:val="1"/>
      <w:numFmt w:val="bullet"/>
      <w:lvlText w:val="•"/>
      <w:lvlJc w:val="left"/>
      <w:pPr>
        <w:tabs>
          <w:tab w:val="num" w:pos="3600"/>
        </w:tabs>
        <w:ind w:left="3600" w:hanging="360"/>
      </w:pPr>
      <w:rPr>
        <w:rFonts w:ascii="Calibri" w:hAnsi="Calibri" w:hint="default"/>
      </w:rPr>
    </w:lvl>
    <w:lvl w:ilvl="5" w:tplc="2092F66A" w:tentative="1">
      <w:start w:val="1"/>
      <w:numFmt w:val="bullet"/>
      <w:lvlText w:val="•"/>
      <w:lvlJc w:val="left"/>
      <w:pPr>
        <w:tabs>
          <w:tab w:val="num" w:pos="4320"/>
        </w:tabs>
        <w:ind w:left="4320" w:hanging="360"/>
      </w:pPr>
      <w:rPr>
        <w:rFonts w:ascii="Calibri" w:hAnsi="Calibri" w:hint="default"/>
      </w:rPr>
    </w:lvl>
    <w:lvl w:ilvl="6" w:tplc="D7D46020" w:tentative="1">
      <w:start w:val="1"/>
      <w:numFmt w:val="bullet"/>
      <w:lvlText w:val="•"/>
      <w:lvlJc w:val="left"/>
      <w:pPr>
        <w:tabs>
          <w:tab w:val="num" w:pos="5040"/>
        </w:tabs>
        <w:ind w:left="5040" w:hanging="360"/>
      </w:pPr>
      <w:rPr>
        <w:rFonts w:ascii="Calibri" w:hAnsi="Calibri" w:hint="default"/>
      </w:rPr>
    </w:lvl>
    <w:lvl w:ilvl="7" w:tplc="3AEA6C88" w:tentative="1">
      <w:start w:val="1"/>
      <w:numFmt w:val="bullet"/>
      <w:lvlText w:val="•"/>
      <w:lvlJc w:val="left"/>
      <w:pPr>
        <w:tabs>
          <w:tab w:val="num" w:pos="5760"/>
        </w:tabs>
        <w:ind w:left="5760" w:hanging="360"/>
      </w:pPr>
      <w:rPr>
        <w:rFonts w:ascii="Calibri" w:hAnsi="Calibri" w:hint="default"/>
      </w:rPr>
    </w:lvl>
    <w:lvl w:ilvl="8" w:tplc="0A3C0A40" w:tentative="1">
      <w:start w:val="1"/>
      <w:numFmt w:val="bullet"/>
      <w:lvlText w:val="•"/>
      <w:lvlJc w:val="left"/>
      <w:pPr>
        <w:tabs>
          <w:tab w:val="num" w:pos="6480"/>
        </w:tabs>
        <w:ind w:left="6480" w:hanging="360"/>
      </w:pPr>
      <w:rPr>
        <w:rFonts w:ascii="Calibri" w:hAnsi="Calibri" w:hint="default"/>
      </w:rPr>
    </w:lvl>
  </w:abstractNum>
  <w:abstractNum w:abstractNumId="61" w15:restartNumberingAfterBreak="0">
    <w:nsid w:val="6EFA4C79"/>
    <w:multiLevelType w:val="hybridMultilevel"/>
    <w:tmpl w:val="1BE8E07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2" w15:restartNumberingAfterBreak="0">
    <w:nsid w:val="7187234F"/>
    <w:multiLevelType w:val="hybridMultilevel"/>
    <w:tmpl w:val="22C2B466"/>
    <w:lvl w:ilvl="0" w:tplc="04080013">
      <w:start w:val="1"/>
      <w:numFmt w:val="upperRoman"/>
      <w:lvlText w:val="%1."/>
      <w:lvlJc w:val="righ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3" w15:restartNumberingAfterBreak="0">
    <w:nsid w:val="737F2350"/>
    <w:multiLevelType w:val="hybridMultilevel"/>
    <w:tmpl w:val="5AFCFCFA"/>
    <w:lvl w:ilvl="0" w:tplc="317A9542">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75DA7678"/>
    <w:multiLevelType w:val="hybridMultilevel"/>
    <w:tmpl w:val="5E7C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212A68"/>
    <w:multiLevelType w:val="hybridMultilevel"/>
    <w:tmpl w:val="49B8AF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585284"/>
    <w:multiLevelType w:val="hybridMultilevel"/>
    <w:tmpl w:val="5F34C8E2"/>
    <w:lvl w:ilvl="0" w:tplc="15AA662E">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7" w15:restartNumberingAfterBreak="0">
    <w:nsid w:val="7B6F3352"/>
    <w:multiLevelType w:val="hybridMultilevel"/>
    <w:tmpl w:val="036CC74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68" w15:restartNumberingAfterBreak="0">
    <w:nsid w:val="7B8D2D4C"/>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7BAD6035"/>
    <w:multiLevelType w:val="hybridMultilevel"/>
    <w:tmpl w:val="208E5E7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0" w15:restartNumberingAfterBreak="0">
    <w:nsid w:val="7C10485C"/>
    <w:multiLevelType w:val="hybridMultilevel"/>
    <w:tmpl w:val="45DA0C9C"/>
    <w:lvl w:ilvl="0" w:tplc="04080013">
      <w:start w:val="1"/>
      <w:numFmt w:val="upperRoman"/>
      <w:lvlText w:val="%1."/>
      <w:lvlJc w:val="righ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1" w15:restartNumberingAfterBreak="0">
    <w:nsid w:val="7E0F4CE6"/>
    <w:multiLevelType w:val="hybridMultilevel"/>
    <w:tmpl w:val="CA18B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E2817D4"/>
    <w:multiLevelType w:val="hybridMultilevel"/>
    <w:tmpl w:val="45DA0C9C"/>
    <w:lvl w:ilvl="0" w:tplc="04080013">
      <w:start w:val="1"/>
      <w:numFmt w:val="upperRoman"/>
      <w:lvlText w:val="%1."/>
      <w:lvlJc w:val="righ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3" w15:restartNumberingAfterBreak="0">
    <w:nsid w:val="7EFD74BA"/>
    <w:multiLevelType w:val="multilevel"/>
    <w:tmpl w:val="F4CCE0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4" w15:restartNumberingAfterBreak="0">
    <w:nsid w:val="7FE4244A"/>
    <w:multiLevelType w:val="hybridMultilevel"/>
    <w:tmpl w:val="D1AC7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36966">
    <w:abstractNumId w:val="16"/>
  </w:num>
  <w:num w:numId="2" w16cid:durableId="653947357">
    <w:abstractNumId w:val="32"/>
  </w:num>
  <w:num w:numId="3" w16cid:durableId="717779906">
    <w:abstractNumId w:val="14"/>
  </w:num>
  <w:num w:numId="4" w16cid:durableId="1406488253">
    <w:abstractNumId w:val="13"/>
  </w:num>
  <w:num w:numId="5" w16cid:durableId="2016688821">
    <w:abstractNumId w:val="8"/>
  </w:num>
  <w:num w:numId="6" w16cid:durableId="1299803682">
    <w:abstractNumId w:val="69"/>
  </w:num>
  <w:num w:numId="7" w16cid:durableId="1470513397">
    <w:abstractNumId w:val="39"/>
  </w:num>
  <w:num w:numId="8" w16cid:durableId="683165329">
    <w:abstractNumId w:val="55"/>
  </w:num>
  <w:num w:numId="9" w16cid:durableId="1870751347">
    <w:abstractNumId w:val="41"/>
  </w:num>
  <w:num w:numId="10" w16cid:durableId="1429158426">
    <w:abstractNumId w:val="12"/>
  </w:num>
  <w:num w:numId="11" w16cid:durableId="543829321">
    <w:abstractNumId w:val="53"/>
  </w:num>
  <w:num w:numId="12" w16cid:durableId="961887807">
    <w:abstractNumId w:val="43"/>
  </w:num>
  <w:num w:numId="13" w16cid:durableId="1162744922">
    <w:abstractNumId w:val="27"/>
  </w:num>
  <w:num w:numId="14" w16cid:durableId="1600214675">
    <w:abstractNumId w:val="52"/>
  </w:num>
  <w:num w:numId="15" w16cid:durableId="431828208">
    <w:abstractNumId w:val="18"/>
  </w:num>
  <w:num w:numId="16" w16cid:durableId="846753147">
    <w:abstractNumId w:val="37"/>
  </w:num>
  <w:num w:numId="17" w16cid:durableId="1065110506">
    <w:abstractNumId w:val="38"/>
  </w:num>
  <w:num w:numId="18" w16cid:durableId="2140761964">
    <w:abstractNumId w:val="21"/>
  </w:num>
  <w:num w:numId="19" w16cid:durableId="1822967060">
    <w:abstractNumId w:val="0"/>
  </w:num>
  <w:num w:numId="20" w16cid:durableId="28798919">
    <w:abstractNumId w:val="26"/>
  </w:num>
  <w:num w:numId="21" w16cid:durableId="1657110088">
    <w:abstractNumId w:val="22"/>
  </w:num>
  <w:num w:numId="22" w16cid:durableId="1311399945">
    <w:abstractNumId w:val="67"/>
  </w:num>
  <w:num w:numId="23" w16cid:durableId="410279135">
    <w:abstractNumId w:val="40"/>
  </w:num>
  <w:num w:numId="24" w16cid:durableId="735203320">
    <w:abstractNumId w:val="56"/>
  </w:num>
  <w:num w:numId="25" w16cid:durableId="477459586">
    <w:abstractNumId w:val="17"/>
  </w:num>
  <w:num w:numId="26" w16cid:durableId="434836197">
    <w:abstractNumId w:val="42"/>
  </w:num>
  <w:num w:numId="27" w16cid:durableId="649292553">
    <w:abstractNumId w:val="70"/>
  </w:num>
  <w:num w:numId="28" w16cid:durableId="2078819112">
    <w:abstractNumId w:val="44"/>
  </w:num>
  <w:num w:numId="29" w16cid:durableId="467742461">
    <w:abstractNumId w:val="23"/>
  </w:num>
  <w:num w:numId="30" w16cid:durableId="1240480054">
    <w:abstractNumId w:val="24"/>
  </w:num>
  <w:num w:numId="31" w16cid:durableId="227031682">
    <w:abstractNumId w:val="72"/>
  </w:num>
  <w:num w:numId="32" w16cid:durableId="309210098">
    <w:abstractNumId w:val="61"/>
  </w:num>
  <w:num w:numId="33" w16cid:durableId="510071325">
    <w:abstractNumId w:val="10"/>
  </w:num>
  <w:num w:numId="34" w16cid:durableId="803428521">
    <w:abstractNumId w:val="20"/>
  </w:num>
  <w:num w:numId="35" w16cid:durableId="2076007233">
    <w:abstractNumId w:val="66"/>
  </w:num>
  <w:num w:numId="36" w16cid:durableId="1739472689">
    <w:abstractNumId w:val="29"/>
  </w:num>
  <w:num w:numId="37" w16cid:durableId="249238506">
    <w:abstractNumId w:val="51"/>
  </w:num>
  <w:num w:numId="38" w16cid:durableId="1609508428">
    <w:abstractNumId w:val="33"/>
  </w:num>
  <w:num w:numId="39" w16cid:durableId="1813710956">
    <w:abstractNumId w:val="35"/>
  </w:num>
  <w:num w:numId="40" w16cid:durableId="336856773">
    <w:abstractNumId w:val="4"/>
  </w:num>
  <w:num w:numId="41" w16cid:durableId="956832855">
    <w:abstractNumId w:val="68"/>
  </w:num>
  <w:num w:numId="42" w16cid:durableId="665866582">
    <w:abstractNumId w:val="73"/>
  </w:num>
  <w:num w:numId="43" w16cid:durableId="1250190924">
    <w:abstractNumId w:val="49"/>
  </w:num>
  <w:num w:numId="44" w16cid:durableId="1426460441">
    <w:abstractNumId w:val="11"/>
  </w:num>
  <w:num w:numId="45" w16cid:durableId="2085564420">
    <w:abstractNumId w:val="48"/>
  </w:num>
  <w:num w:numId="46" w16cid:durableId="1432701455">
    <w:abstractNumId w:val="50"/>
  </w:num>
  <w:num w:numId="47" w16cid:durableId="1836458768">
    <w:abstractNumId w:val="62"/>
  </w:num>
  <w:num w:numId="48" w16cid:durableId="761102288">
    <w:abstractNumId w:val="1"/>
  </w:num>
  <w:num w:numId="49" w16cid:durableId="63335371">
    <w:abstractNumId w:val="74"/>
  </w:num>
  <w:num w:numId="50" w16cid:durableId="849681300">
    <w:abstractNumId w:val="71"/>
  </w:num>
  <w:num w:numId="51" w16cid:durableId="1236277619">
    <w:abstractNumId w:val="9"/>
  </w:num>
  <w:num w:numId="52" w16cid:durableId="60713492">
    <w:abstractNumId w:val="7"/>
  </w:num>
  <w:num w:numId="53" w16cid:durableId="1102603449">
    <w:abstractNumId w:val="19"/>
  </w:num>
  <w:num w:numId="54" w16cid:durableId="164639025">
    <w:abstractNumId w:val="58"/>
  </w:num>
  <w:num w:numId="55" w16cid:durableId="1301110065">
    <w:abstractNumId w:val="47"/>
  </w:num>
  <w:num w:numId="56" w16cid:durableId="290867801">
    <w:abstractNumId w:val="6"/>
  </w:num>
  <w:num w:numId="57" w16cid:durableId="990645684">
    <w:abstractNumId w:val="60"/>
  </w:num>
  <w:num w:numId="58" w16cid:durableId="1452045115">
    <w:abstractNumId w:val="59"/>
  </w:num>
  <w:num w:numId="59" w16cid:durableId="387606161">
    <w:abstractNumId w:val="5"/>
  </w:num>
  <w:num w:numId="60" w16cid:durableId="2053534633">
    <w:abstractNumId w:val="64"/>
  </w:num>
  <w:num w:numId="61" w16cid:durableId="1794473021">
    <w:abstractNumId w:val="2"/>
  </w:num>
  <w:num w:numId="62" w16cid:durableId="28992369">
    <w:abstractNumId w:val="34"/>
  </w:num>
  <w:num w:numId="63" w16cid:durableId="2133865670">
    <w:abstractNumId w:val="36"/>
  </w:num>
  <w:num w:numId="64" w16cid:durableId="885875931">
    <w:abstractNumId w:val="46"/>
  </w:num>
  <w:num w:numId="65" w16cid:durableId="1965193346">
    <w:abstractNumId w:val="65"/>
  </w:num>
  <w:num w:numId="66" w16cid:durableId="404374673">
    <w:abstractNumId w:val="28"/>
  </w:num>
  <w:num w:numId="67" w16cid:durableId="656301654">
    <w:abstractNumId w:val="3"/>
  </w:num>
  <w:num w:numId="68" w16cid:durableId="1466698526">
    <w:abstractNumId w:val="25"/>
  </w:num>
  <w:num w:numId="69" w16cid:durableId="1062413046">
    <w:abstractNumId w:val="31"/>
  </w:num>
  <w:num w:numId="70" w16cid:durableId="1717703685">
    <w:abstractNumId w:val="54"/>
  </w:num>
  <w:num w:numId="71" w16cid:durableId="288896840">
    <w:abstractNumId w:val="30"/>
  </w:num>
  <w:num w:numId="72" w16cid:durableId="845678193">
    <w:abstractNumId w:val="15"/>
  </w:num>
  <w:num w:numId="73" w16cid:durableId="206187934">
    <w:abstractNumId w:val="57"/>
  </w:num>
  <w:num w:numId="74" w16cid:durableId="1428429470">
    <w:abstractNumId w:val="45"/>
  </w:num>
  <w:num w:numId="75" w16cid:durableId="1034311636">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B9"/>
    <w:rsid w:val="0000293C"/>
    <w:rsid w:val="00004014"/>
    <w:rsid w:val="00006777"/>
    <w:rsid w:val="00006DA5"/>
    <w:rsid w:val="00012338"/>
    <w:rsid w:val="00013100"/>
    <w:rsid w:val="0001367E"/>
    <w:rsid w:val="0001423C"/>
    <w:rsid w:val="000148DE"/>
    <w:rsid w:val="00016179"/>
    <w:rsid w:val="000163F4"/>
    <w:rsid w:val="000164CF"/>
    <w:rsid w:val="000168CD"/>
    <w:rsid w:val="00017A88"/>
    <w:rsid w:val="00017C04"/>
    <w:rsid w:val="0002257E"/>
    <w:rsid w:val="00022E4A"/>
    <w:rsid w:val="00025CFB"/>
    <w:rsid w:val="000260D9"/>
    <w:rsid w:val="00026C3C"/>
    <w:rsid w:val="0002758D"/>
    <w:rsid w:val="000324D4"/>
    <w:rsid w:val="000336A4"/>
    <w:rsid w:val="0003608F"/>
    <w:rsid w:val="00036D30"/>
    <w:rsid w:val="00042C8D"/>
    <w:rsid w:val="000431B3"/>
    <w:rsid w:val="0004354D"/>
    <w:rsid w:val="00044336"/>
    <w:rsid w:val="0004459C"/>
    <w:rsid w:val="000445A6"/>
    <w:rsid w:val="00044820"/>
    <w:rsid w:val="00044B9A"/>
    <w:rsid w:val="0004566F"/>
    <w:rsid w:val="00045A78"/>
    <w:rsid w:val="0004659C"/>
    <w:rsid w:val="0004711F"/>
    <w:rsid w:val="000471FF"/>
    <w:rsid w:val="000472F0"/>
    <w:rsid w:val="00047677"/>
    <w:rsid w:val="00050762"/>
    <w:rsid w:val="00050AAF"/>
    <w:rsid w:val="000525E8"/>
    <w:rsid w:val="0005370E"/>
    <w:rsid w:val="00054FD0"/>
    <w:rsid w:val="00055DAB"/>
    <w:rsid w:val="000560CF"/>
    <w:rsid w:val="00056CEA"/>
    <w:rsid w:val="00056FD1"/>
    <w:rsid w:val="0005744C"/>
    <w:rsid w:val="00057C25"/>
    <w:rsid w:val="00057DDD"/>
    <w:rsid w:val="00061409"/>
    <w:rsid w:val="0006257E"/>
    <w:rsid w:val="00066C3A"/>
    <w:rsid w:val="00070B20"/>
    <w:rsid w:val="000719AA"/>
    <w:rsid w:val="00072AB5"/>
    <w:rsid w:val="00073104"/>
    <w:rsid w:val="000731CB"/>
    <w:rsid w:val="0007358E"/>
    <w:rsid w:val="00074E4A"/>
    <w:rsid w:val="0007503E"/>
    <w:rsid w:val="00075922"/>
    <w:rsid w:val="00076138"/>
    <w:rsid w:val="0007786C"/>
    <w:rsid w:val="000804C6"/>
    <w:rsid w:val="0008171F"/>
    <w:rsid w:val="0008177B"/>
    <w:rsid w:val="00084CF9"/>
    <w:rsid w:val="000852AA"/>
    <w:rsid w:val="00085E05"/>
    <w:rsid w:val="000861E8"/>
    <w:rsid w:val="00086E5C"/>
    <w:rsid w:val="0008701F"/>
    <w:rsid w:val="00090415"/>
    <w:rsid w:val="000912EA"/>
    <w:rsid w:val="00095573"/>
    <w:rsid w:val="00095940"/>
    <w:rsid w:val="00096774"/>
    <w:rsid w:val="000977AE"/>
    <w:rsid w:val="000A08D7"/>
    <w:rsid w:val="000A11F6"/>
    <w:rsid w:val="000A2C62"/>
    <w:rsid w:val="000A57F3"/>
    <w:rsid w:val="000A5F57"/>
    <w:rsid w:val="000B0C08"/>
    <w:rsid w:val="000B164F"/>
    <w:rsid w:val="000B1C31"/>
    <w:rsid w:val="000B2023"/>
    <w:rsid w:val="000B47CB"/>
    <w:rsid w:val="000B4F39"/>
    <w:rsid w:val="000B5E91"/>
    <w:rsid w:val="000B6888"/>
    <w:rsid w:val="000C08B6"/>
    <w:rsid w:val="000C2F08"/>
    <w:rsid w:val="000C3B29"/>
    <w:rsid w:val="000C4116"/>
    <w:rsid w:val="000C5AA7"/>
    <w:rsid w:val="000C5FE8"/>
    <w:rsid w:val="000C61F3"/>
    <w:rsid w:val="000C6A93"/>
    <w:rsid w:val="000C731E"/>
    <w:rsid w:val="000C7993"/>
    <w:rsid w:val="000C7D4B"/>
    <w:rsid w:val="000D02AD"/>
    <w:rsid w:val="000D02FC"/>
    <w:rsid w:val="000D2015"/>
    <w:rsid w:val="000D2800"/>
    <w:rsid w:val="000D2842"/>
    <w:rsid w:val="000D30D1"/>
    <w:rsid w:val="000D476A"/>
    <w:rsid w:val="000D55B2"/>
    <w:rsid w:val="000D56B3"/>
    <w:rsid w:val="000D59AF"/>
    <w:rsid w:val="000D5C06"/>
    <w:rsid w:val="000D5C7F"/>
    <w:rsid w:val="000D620D"/>
    <w:rsid w:val="000D68B8"/>
    <w:rsid w:val="000D7596"/>
    <w:rsid w:val="000E0473"/>
    <w:rsid w:val="000E0569"/>
    <w:rsid w:val="000E079B"/>
    <w:rsid w:val="000E21C1"/>
    <w:rsid w:val="000E42C5"/>
    <w:rsid w:val="000E5D25"/>
    <w:rsid w:val="000E700A"/>
    <w:rsid w:val="000E7D39"/>
    <w:rsid w:val="000F51A5"/>
    <w:rsid w:val="000F54BB"/>
    <w:rsid w:val="000F5FCD"/>
    <w:rsid w:val="000F605A"/>
    <w:rsid w:val="000F63CF"/>
    <w:rsid w:val="000F6CF5"/>
    <w:rsid w:val="000F788F"/>
    <w:rsid w:val="0010044F"/>
    <w:rsid w:val="00101AD9"/>
    <w:rsid w:val="001021BD"/>
    <w:rsid w:val="00102479"/>
    <w:rsid w:val="001024AD"/>
    <w:rsid w:val="0010271E"/>
    <w:rsid w:val="0010461C"/>
    <w:rsid w:val="0010486A"/>
    <w:rsid w:val="00106195"/>
    <w:rsid w:val="001076B6"/>
    <w:rsid w:val="0011048E"/>
    <w:rsid w:val="001115AF"/>
    <w:rsid w:val="00112BD9"/>
    <w:rsid w:val="00114013"/>
    <w:rsid w:val="00114726"/>
    <w:rsid w:val="001148AF"/>
    <w:rsid w:val="00114A3D"/>
    <w:rsid w:val="00114F3A"/>
    <w:rsid w:val="0011583C"/>
    <w:rsid w:val="00117A03"/>
    <w:rsid w:val="00120669"/>
    <w:rsid w:val="00123DD9"/>
    <w:rsid w:val="00124AD8"/>
    <w:rsid w:val="001265AE"/>
    <w:rsid w:val="00126D23"/>
    <w:rsid w:val="001301AE"/>
    <w:rsid w:val="00130389"/>
    <w:rsid w:val="00130992"/>
    <w:rsid w:val="00131690"/>
    <w:rsid w:val="001319B5"/>
    <w:rsid w:val="00131C76"/>
    <w:rsid w:val="00131DCF"/>
    <w:rsid w:val="00132E44"/>
    <w:rsid w:val="00133E97"/>
    <w:rsid w:val="00134049"/>
    <w:rsid w:val="00134976"/>
    <w:rsid w:val="00134AFA"/>
    <w:rsid w:val="00135979"/>
    <w:rsid w:val="00135A2E"/>
    <w:rsid w:val="00135AAF"/>
    <w:rsid w:val="001366B7"/>
    <w:rsid w:val="0014043C"/>
    <w:rsid w:val="00140A98"/>
    <w:rsid w:val="00142B76"/>
    <w:rsid w:val="0014357D"/>
    <w:rsid w:val="00144118"/>
    <w:rsid w:val="00144D22"/>
    <w:rsid w:val="00145415"/>
    <w:rsid w:val="00145748"/>
    <w:rsid w:val="00147CBA"/>
    <w:rsid w:val="00153062"/>
    <w:rsid w:val="001533CC"/>
    <w:rsid w:val="001553E0"/>
    <w:rsid w:val="001562E4"/>
    <w:rsid w:val="001602A6"/>
    <w:rsid w:val="00160C85"/>
    <w:rsid w:val="00161E5C"/>
    <w:rsid w:val="00161F07"/>
    <w:rsid w:val="00162A6F"/>
    <w:rsid w:val="00163348"/>
    <w:rsid w:val="0016451F"/>
    <w:rsid w:val="001659E0"/>
    <w:rsid w:val="001708C3"/>
    <w:rsid w:val="0017092C"/>
    <w:rsid w:val="00171005"/>
    <w:rsid w:val="001717EC"/>
    <w:rsid w:val="001733EC"/>
    <w:rsid w:val="00173EA7"/>
    <w:rsid w:val="00175609"/>
    <w:rsid w:val="00176144"/>
    <w:rsid w:val="00180D90"/>
    <w:rsid w:val="0018190C"/>
    <w:rsid w:val="00181AEE"/>
    <w:rsid w:val="00181B73"/>
    <w:rsid w:val="00181C6F"/>
    <w:rsid w:val="00184A66"/>
    <w:rsid w:val="0018518B"/>
    <w:rsid w:val="00185DA6"/>
    <w:rsid w:val="00186801"/>
    <w:rsid w:val="0018718E"/>
    <w:rsid w:val="00187F32"/>
    <w:rsid w:val="00190262"/>
    <w:rsid w:val="00190BBF"/>
    <w:rsid w:val="001918AC"/>
    <w:rsid w:val="00191E42"/>
    <w:rsid w:val="0019265B"/>
    <w:rsid w:val="00192F08"/>
    <w:rsid w:val="001935E2"/>
    <w:rsid w:val="0019539C"/>
    <w:rsid w:val="00196893"/>
    <w:rsid w:val="00197394"/>
    <w:rsid w:val="0019775E"/>
    <w:rsid w:val="00197944"/>
    <w:rsid w:val="00197C82"/>
    <w:rsid w:val="00197DBC"/>
    <w:rsid w:val="001A0113"/>
    <w:rsid w:val="001A043A"/>
    <w:rsid w:val="001A05AA"/>
    <w:rsid w:val="001A5A48"/>
    <w:rsid w:val="001A6772"/>
    <w:rsid w:val="001B041D"/>
    <w:rsid w:val="001B062C"/>
    <w:rsid w:val="001B0780"/>
    <w:rsid w:val="001B11BC"/>
    <w:rsid w:val="001B19F2"/>
    <w:rsid w:val="001B1EC8"/>
    <w:rsid w:val="001B22F6"/>
    <w:rsid w:val="001B2688"/>
    <w:rsid w:val="001B2F83"/>
    <w:rsid w:val="001B3B34"/>
    <w:rsid w:val="001B53BD"/>
    <w:rsid w:val="001B7064"/>
    <w:rsid w:val="001B7570"/>
    <w:rsid w:val="001C05BE"/>
    <w:rsid w:val="001C0756"/>
    <w:rsid w:val="001C0BF4"/>
    <w:rsid w:val="001C19FA"/>
    <w:rsid w:val="001C2B21"/>
    <w:rsid w:val="001C45C7"/>
    <w:rsid w:val="001C6DA2"/>
    <w:rsid w:val="001C72E7"/>
    <w:rsid w:val="001C7A90"/>
    <w:rsid w:val="001D02C6"/>
    <w:rsid w:val="001D4310"/>
    <w:rsid w:val="001D4625"/>
    <w:rsid w:val="001D68B8"/>
    <w:rsid w:val="001D69BB"/>
    <w:rsid w:val="001D7195"/>
    <w:rsid w:val="001D7B82"/>
    <w:rsid w:val="001E13B7"/>
    <w:rsid w:val="001E173F"/>
    <w:rsid w:val="001E18CE"/>
    <w:rsid w:val="001E2124"/>
    <w:rsid w:val="001E2AA9"/>
    <w:rsid w:val="001E315A"/>
    <w:rsid w:val="001E3168"/>
    <w:rsid w:val="001E3C45"/>
    <w:rsid w:val="001E54C4"/>
    <w:rsid w:val="001E5759"/>
    <w:rsid w:val="001E6DBF"/>
    <w:rsid w:val="001E718D"/>
    <w:rsid w:val="001F01B0"/>
    <w:rsid w:val="001F0F6E"/>
    <w:rsid w:val="001F2FB0"/>
    <w:rsid w:val="001F37CC"/>
    <w:rsid w:val="001F42C7"/>
    <w:rsid w:val="001F44AE"/>
    <w:rsid w:val="001F6725"/>
    <w:rsid w:val="001F6794"/>
    <w:rsid w:val="001F7270"/>
    <w:rsid w:val="002008BE"/>
    <w:rsid w:val="00200AC3"/>
    <w:rsid w:val="00200E06"/>
    <w:rsid w:val="00201C40"/>
    <w:rsid w:val="00202325"/>
    <w:rsid w:val="002026C5"/>
    <w:rsid w:val="0020278A"/>
    <w:rsid w:val="002028A0"/>
    <w:rsid w:val="00202CB5"/>
    <w:rsid w:val="00202FE0"/>
    <w:rsid w:val="0020345E"/>
    <w:rsid w:val="00203F72"/>
    <w:rsid w:val="002043E8"/>
    <w:rsid w:val="002053C8"/>
    <w:rsid w:val="0020615E"/>
    <w:rsid w:val="00207B69"/>
    <w:rsid w:val="002120AC"/>
    <w:rsid w:val="0021274E"/>
    <w:rsid w:val="0021374D"/>
    <w:rsid w:val="00213B2E"/>
    <w:rsid w:val="00215324"/>
    <w:rsid w:val="00215FF5"/>
    <w:rsid w:val="002160DC"/>
    <w:rsid w:val="0021687F"/>
    <w:rsid w:val="002174E9"/>
    <w:rsid w:val="00217888"/>
    <w:rsid w:val="0022136B"/>
    <w:rsid w:val="00221D7F"/>
    <w:rsid w:val="00222B26"/>
    <w:rsid w:val="0022330E"/>
    <w:rsid w:val="00223AEE"/>
    <w:rsid w:val="00223EAD"/>
    <w:rsid w:val="00224681"/>
    <w:rsid w:val="0022646D"/>
    <w:rsid w:val="0022754C"/>
    <w:rsid w:val="00227D16"/>
    <w:rsid w:val="002319B7"/>
    <w:rsid w:val="00232784"/>
    <w:rsid w:val="00233281"/>
    <w:rsid w:val="002339FC"/>
    <w:rsid w:val="00234732"/>
    <w:rsid w:val="002351BB"/>
    <w:rsid w:val="00235A5F"/>
    <w:rsid w:val="00235AD7"/>
    <w:rsid w:val="0023616E"/>
    <w:rsid w:val="0024072F"/>
    <w:rsid w:val="00242012"/>
    <w:rsid w:val="0024232E"/>
    <w:rsid w:val="00242CB8"/>
    <w:rsid w:val="002434E2"/>
    <w:rsid w:val="00243E9B"/>
    <w:rsid w:val="002446D5"/>
    <w:rsid w:val="00244FDC"/>
    <w:rsid w:val="00245EFC"/>
    <w:rsid w:val="002471E9"/>
    <w:rsid w:val="002479B6"/>
    <w:rsid w:val="00247B2D"/>
    <w:rsid w:val="00247E79"/>
    <w:rsid w:val="00250959"/>
    <w:rsid w:val="00250CB9"/>
    <w:rsid w:val="00253990"/>
    <w:rsid w:val="00253A39"/>
    <w:rsid w:val="00253D45"/>
    <w:rsid w:val="00254149"/>
    <w:rsid w:val="00254C19"/>
    <w:rsid w:val="00254E4A"/>
    <w:rsid w:val="0025542B"/>
    <w:rsid w:val="002563E8"/>
    <w:rsid w:val="0025757C"/>
    <w:rsid w:val="002600E0"/>
    <w:rsid w:val="00260E95"/>
    <w:rsid w:val="00261531"/>
    <w:rsid w:val="002617A9"/>
    <w:rsid w:val="00264B7D"/>
    <w:rsid w:val="002663E7"/>
    <w:rsid w:val="0027197C"/>
    <w:rsid w:val="00272588"/>
    <w:rsid w:val="00272FA1"/>
    <w:rsid w:val="002748D4"/>
    <w:rsid w:val="00276C05"/>
    <w:rsid w:val="00276D90"/>
    <w:rsid w:val="00277E6F"/>
    <w:rsid w:val="002802AE"/>
    <w:rsid w:val="00280430"/>
    <w:rsid w:val="002814C0"/>
    <w:rsid w:val="00286CF5"/>
    <w:rsid w:val="002873B1"/>
    <w:rsid w:val="0028781E"/>
    <w:rsid w:val="0029084A"/>
    <w:rsid w:val="00290D8B"/>
    <w:rsid w:val="002927C9"/>
    <w:rsid w:val="00293877"/>
    <w:rsid w:val="002943A4"/>
    <w:rsid w:val="00295CD3"/>
    <w:rsid w:val="00296425"/>
    <w:rsid w:val="00296BF7"/>
    <w:rsid w:val="002A13BE"/>
    <w:rsid w:val="002A155C"/>
    <w:rsid w:val="002A1598"/>
    <w:rsid w:val="002A161B"/>
    <w:rsid w:val="002A223C"/>
    <w:rsid w:val="002A26AA"/>
    <w:rsid w:val="002A430A"/>
    <w:rsid w:val="002A4BFB"/>
    <w:rsid w:val="002A5725"/>
    <w:rsid w:val="002A6E96"/>
    <w:rsid w:val="002B08A1"/>
    <w:rsid w:val="002B307E"/>
    <w:rsid w:val="002B3244"/>
    <w:rsid w:val="002B37EF"/>
    <w:rsid w:val="002B3E3D"/>
    <w:rsid w:val="002B416E"/>
    <w:rsid w:val="002B4336"/>
    <w:rsid w:val="002B44A6"/>
    <w:rsid w:val="002B55D6"/>
    <w:rsid w:val="002B6630"/>
    <w:rsid w:val="002B7CD6"/>
    <w:rsid w:val="002C0DB9"/>
    <w:rsid w:val="002C1089"/>
    <w:rsid w:val="002C1CE3"/>
    <w:rsid w:val="002C314E"/>
    <w:rsid w:val="002C3696"/>
    <w:rsid w:val="002C36B0"/>
    <w:rsid w:val="002C3F40"/>
    <w:rsid w:val="002C4DD2"/>
    <w:rsid w:val="002C576A"/>
    <w:rsid w:val="002C6585"/>
    <w:rsid w:val="002C70FF"/>
    <w:rsid w:val="002C7F18"/>
    <w:rsid w:val="002D2162"/>
    <w:rsid w:val="002D23C4"/>
    <w:rsid w:val="002D2D78"/>
    <w:rsid w:val="002D49B6"/>
    <w:rsid w:val="002D6801"/>
    <w:rsid w:val="002D700A"/>
    <w:rsid w:val="002E00F0"/>
    <w:rsid w:val="002E14B9"/>
    <w:rsid w:val="002E21C9"/>
    <w:rsid w:val="002E27E0"/>
    <w:rsid w:val="002E3AE1"/>
    <w:rsid w:val="002E6CB1"/>
    <w:rsid w:val="002F26F4"/>
    <w:rsid w:val="002F28FC"/>
    <w:rsid w:val="002F296D"/>
    <w:rsid w:val="002F35FA"/>
    <w:rsid w:val="002F38A2"/>
    <w:rsid w:val="002F42C8"/>
    <w:rsid w:val="002F4BA7"/>
    <w:rsid w:val="002F558D"/>
    <w:rsid w:val="002F5600"/>
    <w:rsid w:val="002F5965"/>
    <w:rsid w:val="002F6588"/>
    <w:rsid w:val="002F6B76"/>
    <w:rsid w:val="002F7DB9"/>
    <w:rsid w:val="00303E23"/>
    <w:rsid w:val="00304E78"/>
    <w:rsid w:val="003055D7"/>
    <w:rsid w:val="003056E9"/>
    <w:rsid w:val="00305DEF"/>
    <w:rsid w:val="00306991"/>
    <w:rsid w:val="003074A7"/>
    <w:rsid w:val="00307559"/>
    <w:rsid w:val="0031159D"/>
    <w:rsid w:val="00314791"/>
    <w:rsid w:val="003154EF"/>
    <w:rsid w:val="0031571A"/>
    <w:rsid w:val="003160AD"/>
    <w:rsid w:val="00320F4F"/>
    <w:rsid w:val="0032489B"/>
    <w:rsid w:val="00325161"/>
    <w:rsid w:val="003251CC"/>
    <w:rsid w:val="00326523"/>
    <w:rsid w:val="00327A2F"/>
    <w:rsid w:val="003313B8"/>
    <w:rsid w:val="00332015"/>
    <w:rsid w:val="00332ECC"/>
    <w:rsid w:val="00333A34"/>
    <w:rsid w:val="00335620"/>
    <w:rsid w:val="00335886"/>
    <w:rsid w:val="00337917"/>
    <w:rsid w:val="003407BC"/>
    <w:rsid w:val="00341BE8"/>
    <w:rsid w:val="00341C51"/>
    <w:rsid w:val="00342D43"/>
    <w:rsid w:val="00346198"/>
    <w:rsid w:val="003469AC"/>
    <w:rsid w:val="00347F89"/>
    <w:rsid w:val="00350175"/>
    <w:rsid w:val="00350FC3"/>
    <w:rsid w:val="0035154E"/>
    <w:rsid w:val="003517A2"/>
    <w:rsid w:val="003540CE"/>
    <w:rsid w:val="003555FF"/>
    <w:rsid w:val="00356BDD"/>
    <w:rsid w:val="003620A9"/>
    <w:rsid w:val="0036267D"/>
    <w:rsid w:val="00362FC8"/>
    <w:rsid w:val="00363B90"/>
    <w:rsid w:val="00364171"/>
    <w:rsid w:val="003642BD"/>
    <w:rsid w:val="00365DA3"/>
    <w:rsid w:val="0036625F"/>
    <w:rsid w:val="0036638D"/>
    <w:rsid w:val="003668BD"/>
    <w:rsid w:val="00366D5C"/>
    <w:rsid w:val="003675C6"/>
    <w:rsid w:val="00370409"/>
    <w:rsid w:val="0037049C"/>
    <w:rsid w:val="003722EE"/>
    <w:rsid w:val="0037253B"/>
    <w:rsid w:val="0037280C"/>
    <w:rsid w:val="00373B6C"/>
    <w:rsid w:val="00374AFB"/>
    <w:rsid w:val="003759A7"/>
    <w:rsid w:val="003803DD"/>
    <w:rsid w:val="00381A3C"/>
    <w:rsid w:val="00385038"/>
    <w:rsid w:val="0038601B"/>
    <w:rsid w:val="0039080D"/>
    <w:rsid w:val="00392AEC"/>
    <w:rsid w:val="00392F44"/>
    <w:rsid w:val="0039404C"/>
    <w:rsid w:val="003944B6"/>
    <w:rsid w:val="003950B0"/>
    <w:rsid w:val="00395978"/>
    <w:rsid w:val="00395A0C"/>
    <w:rsid w:val="00396EFD"/>
    <w:rsid w:val="0039732F"/>
    <w:rsid w:val="00397E37"/>
    <w:rsid w:val="003A02E7"/>
    <w:rsid w:val="003A034A"/>
    <w:rsid w:val="003A0FE8"/>
    <w:rsid w:val="003A176B"/>
    <w:rsid w:val="003A19ED"/>
    <w:rsid w:val="003A1B54"/>
    <w:rsid w:val="003A1D5D"/>
    <w:rsid w:val="003A37E5"/>
    <w:rsid w:val="003A45CB"/>
    <w:rsid w:val="003A6586"/>
    <w:rsid w:val="003A6842"/>
    <w:rsid w:val="003A711E"/>
    <w:rsid w:val="003B0F88"/>
    <w:rsid w:val="003B1250"/>
    <w:rsid w:val="003B3289"/>
    <w:rsid w:val="003B589E"/>
    <w:rsid w:val="003B730B"/>
    <w:rsid w:val="003B73CB"/>
    <w:rsid w:val="003C0266"/>
    <w:rsid w:val="003C1B3E"/>
    <w:rsid w:val="003C29A6"/>
    <w:rsid w:val="003C534E"/>
    <w:rsid w:val="003C595C"/>
    <w:rsid w:val="003C5B1C"/>
    <w:rsid w:val="003C5E78"/>
    <w:rsid w:val="003C73E4"/>
    <w:rsid w:val="003C7933"/>
    <w:rsid w:val="003C7BDC"/>
    <w:rsid w:val="003D0683"/>
    <w:rsid w:val="003D1298"/>
    <w:rsid w:val="003D1F29"/>
    <w:rsid w:val="003D24B0"/>
    <w:rsid w:val="003D2BCB"/>
    <w:rsid w:val="003D386D"/>
    <w:rsid w:val="003D3EC6"/>
    <w:rsid w:val="003D4B27"/>
    <w:rsid w:val="003D673E"/>
    <w:rsid w:val="003E164C"/>
    <w:rsid w:val="003E16C8"/>
    <w:rsid w:val="003E2FC1"/>
    <w:rsid w:val="003E49DB"/>
    <w:rsid w:val="003E55B5"/>
    <w:rsid w:val="003E5DE3"/>
    <w:rsid w:val="003E649B"/>
    <w:rsid w:val="003F0284"/>
    <w:rsid w:val="003F221C"/>
    <w:rsid w:val="003F30C5"/>
    <w:rsid w:val="003F44EC"/>
    <w:rsid w:val="003F7D0B"/>
    <w:rsid w:val="00400181"/>
    <w:rsid w:val="004008FF"/>
    <w:rsid w:val="00401DC3"/>
    <w:rsid w:val="00402DA4"/>
    <w:rsid w:val="00404C48"/>
    <w:rsid w:val="00404CBA"/>
    <w:rsid w:val="00404F57"/>
    <w:rsid w:val="004052D8"/>
    <w:rsid w:val="00405AD3"/>
    <w:rsid w:val="00407605"/>
    <w:rsid w:val="00407D5E"/>
    <w:rsid w:val="0041060C"/>
    <w:rsid w:val="0041065C"/>
    <w:rsid w:val="00412A5B"/>
    <w:rsid w:val="00413965"/>
    <w:rsid w:val="0041412E"/>
    <w:rsid w:val="00414EF5"/>
    <w:rsid w:val="00415AB9"/>
    <w:rsid w:val="004166BD"/>
    <w:rsid w:val="00416EB8"/>
    <w:rsid w:val="004242A9"/>
    <w:rsid w:val="004243EE"/>
    <w:rsid w:val="00424E26"/>
    <w:rsid w:val="00425EE9"/>
    <w:rsid w:val="004302F6"/>
    <w:rsid w:val="00430643"/>
    <w:rsid w:val="00430BD2"/>
    <w:rsid w:val="00430C09"/>
    <w:rsid w:val="00432B70"/>
    <w:rsid w:val="0043393E"/>
    <w:rsid w:val="00434570"/>
    <w:rsid w:val="0043756C"/>
    <w:rsid w:val="00441ADB"/>
    <w:rsid w:val="004443CB"/>
    <w:rsid w:val="00444B12"/>
    <w:rsid w:val="0044567E"/>
    <w:rsid w:val="00445D25"/>
    <w:rsid w:val="0044765F"/>
    <w:rsid w:val="004501A8"/>
    <w:rsid w:val="004508BE"/>
    <w:rsid w:val="00453F33"/>
    <w:rsid w:val="00453FAC"/>
    <w:rsid w:val="00455686"/>
    <w:rsid w:val="004563B9"/>
    <w:rsid w:val="00457C25"/>
    <w:rsid w:val="00461973"/>
    <w:rsid w:val="00462020"/>
    <w:rsid w:val="004652B8"/>
    <w:rsid w:val="00465542"/>
    <w:rsid w:val="00466088"/>
    <w:rsid w:val="0047019F"/>
    <w:rsid w:val="004702B2"/>
    <w:rsid w:val="004711B5"/>
    <w:rsid w:val="00472001"/>
    <w:rsid w:val="0047236A"/>
    <w:rsid w:val="004747B4"/>
    <w:rsid w:val="00474C90"/>
    <w:rsid w:val="0047691B"/>
    <w:rsid w:val="004816C9"/>
    <w:rsid w:val="0048242E"/>
    <w:rsid w:val="00483BEA"/>
    <w:rsid w:val="00484C30"/>
    <w:rsid w:val="004851C3"/>
    <w:rsid w:val="00485BD5"/>
    <w:rsid w:val="004865E4"/>
    <w:rsid w:val="004876A5"/>
    <w:rsid w:val="00491B2C"/>
    <w:rsid w:val="00492F90"/>
    <w:rsid w:val="00496AA1"/>
    <w:rsid w:val="00497285"/>
    <w:rsid w:val="00497867"/>
    <w:rsid w:val="004A194E"/>
    <w:rsid w:val="004A207C"/>
    <w:rsid w:val="004A28DB"/>
    <w:rsid w:val="004A3254"/>
    <w:rsid w:val="004A362C"/>
    <w:rsid w:val="004A387A"/>
    <w:rsid w:val="004A42DA"/>
    <w:rsid w:val="004A5521"/>
    <w:rsid w:val="004A576B"/>
    <w:rsid w:val="004A5F04"/>
    <w:rsid w:val="004A6EC0"/>
    <w:rsid w:val="004A7DE1"/>
    <w:rsid w:val="004B036E"/>
    <w:rsid w:val="004B0F0E"/>
    <w:rsid w:val="004B1985"/>
    <w:rsid w:val="004B20C2"/>
    <w:rsid w:val="004B21B3"/>
    <w:rsid w:val="004B237B"/>
    <w:rsid w:val="004B3414"/>
    <w:rsid w:val="004B7160"/>
    <w:rsid w:val="004C0998"/>
    <w:rsid w:val="004C20A1"/>
    <w:rsid w:val="004C2765"/>
    <w:rsid w:val="004C2BA9"/>
    <w:rsid w:val="004C3CA8"/>
    <w:rsid w:val="004C3F95"/>
    <w:rsid w:val="004C5E26"/>
    <w:rsid w:val="004C6A70"/>
    <w:rsid w:val="004C7C75"/>
    <w:rsid w:val="004D0823"/>
    <w:rsid w:val="004D20C9"/>
    <w:rsid w:val="004D3038"/>
    <w:rsid w:val="004D3DB9"/>
    <w:rsid w:val="004D3E55"/>
    <w:rsid w:val="004D40D0"/>
    <w:rsid w:val="004D51AF"/>
    <w:rsid w:val="004D5937"/>
    <w:rsid w:val="004D6658"/>
    <w:rsid w:val="004D6EC0"/>
    <w:rsid w:val="004E14E9"/>
    <w:rsid w:val="004E17B2"/>
    <w:rsid w:val="004E2BCC"/>
    <w:rsid w:val="004E45E1"/>
    <w:rsid w:val="004E570E"/>
    <w:rsid w:val="004E6A6A"/>
    <w:rsid w:val="004F1E65"/>
    <w:rsid w:val="004F3415"/>
    <w:rsid w:val="004F353B"/>
    <w:rsid w:val="004F402F"/>
    <w:rsid w:val="004F7C79"/>
    <w:rsid w:val="00500520"/>
    <w:rsid w:val="00501611"/>
    <w:rsid w:val="005020A4"/>
    <w:rsid w:val="00503469"/>
    <w:rsid w:val="0050346B"/>
    <w:rsid w:val="0050391F"/>
    <w:rsid w:val="00504AC8"/>
    <w:rsid w:val="00504F8D"/>
    <w:rsid w:val="00505955"/>
    <w:rsid w:val="00505B79"/>
    <w:rsid w:val="00506CEE"/>
    <w:rsid w:val="00510F01"/>
    <w:rsid w:val="0051203D"/>
    <w:rsid w:val="00513CC8"/>
    <w:rsid w:val="005153E5"/>
    <w:rsid w:val="00515539"/>
    <w:rsid w:val="005160BF"/>
    <w:rsid w:val="00516722"/>
    <w:rsid w:val="00520EA0"/>
    <w:rsid w:val="005212B3"/>
    <w:rsid w:val="00522DC5"/>
    <w:rsid w:val="0052346A"/>
    <w:rsid w:val="005245EE"/>
    <w:rsid w:val="00524FE3"/>
    <w:rsid w:val="005268CD"/>
    <w:rsid w:val="005303E4"/>
    <w:rsid w:val="005309AC"/>
    <w:rsid w:val="00531443"/>
    <w:rsid w:val="00531ABE"/>
    <w:rsid w:val="0053318D"/>
    <w:rsid w:val="005349A0"/>
    <w:rsid w:val="005355F9"/>
    <w:rsid w:val="00535768"/>
    <w:rsid w:val="0053651E"/>
    <w:rsid w:val="00541476"/>
    <w:rsid w:val="00541549"/>
    <w:rsid w:val="00541E0B"/>
    <w:rsid w:val="005434BA"/>
    <w:rsid w:val="00543513"/>
    <w:rsid w:val="005543F1"/>
    <w:rsid w:val="00556182"/>
    <w:rsid w:val="005570D8"/>
    <w:rsid w:val="00557814"/>
    <w:rsid w:val="00560190"/>
    <w:rsid w:val="005614E5"/>
    <w:rsid w:val="005616AF"/>
    <w:rsid w:val="00561886"/>
    <w:rsid w:val="005618AA"/>
    <w:rsid w:val="005629E5"/>
    <w:rsid w:val="00564BB4"/>
    <w:rsid w:val="0056611A"/>
    <w:rsid w:val="00566F09"/>
    <w:rsid w:val="0057227E"/>
    <w:rsid w:val="005739E8"/>
    <w:rsid w:val="00574A11"/>
    <w:rsid w:val="00575F2D"/>
    <w:rsid w:val="0057601C"/>
    <w:rsid w:val="005767F0"/>
    <w:rsid w:val="005779F8"/>
    <w:rsid w:val="0058064D"/>
    <w:rsid w:val="0058077B"/>
    <w:rsid w:val="00580A11"/>
    <w:rsid w:val="00583E06"/>
    <w:rsid w:val="00591A49"/>
    <w:rsid w:val="005944AD"/>
    <w:rsid w:val="00595DF6"/>
    <w:rsid w:val="0059755A"/>
    <w:rsid w:val="005979F7"/>
    <w:rsid w:val="005A13DC"/>
    <w:rsid w:val="005A24F5"/>
    <w:rsid w:val="005A3256"/>
    <w:rsid w:val="005A64C8"/>
    <w:rsid w:val="005A6FEF"/>
    <w:rsid w:val="005A7DCB"/>
    <w:rsid w:val="005B3CD9"/>
    <w:rsid w:val="005B3E0B"/>
    <w:rsid w:val="005B4ED9"/>
    <w:rsid w:val="005B61DF"/>
    <w:rsid w:val="005C13F4"/>
    <w:rsid w:val="005C311D"/>
    <w:rsid w:val="005C53E5"/>
    <w:rsid w:val="005C6926"/>
    <w:rsid w:val="005C7E1E"/>
    <w:rsid w:val="005D2481"/>
    <w:rsid w:val="005D3315"/>
    <w:rsid w:val="005D386E"/>
    <w:rsid w:val="005D4FF0"/>
    <w:rsid w:val="005D66CE"/>
    <w:rsid w:val="005D78D6"/>
    <w:rsid w:val="005E0CC0"/>
    <w:rsid w:val="005E4EC8"/>
    <w:rsid w:val="005E62F8"/>
    <w:rsid w:val="005E7EAE"/>
    <w:rsid w:val="005F085D"/>
    <w:rsid w:val="005F148A"/>
    <w:rsid w:val="005F33D4"/>
    <w:rsid w:val="005F501F"/>
    <w:rsid w:val="005F5937"/>
    <w:rsid w:val="005F6DDE"/>
    <w:rsid w:val="00600B86"/>
    <w:rsid w:val="00600DBD"/>
    <w:rsid w:val="00602939"/>
    <w:rsid w:val="006045BF"/>
    <w:rsid w:val="00604DEB"/>
    <w:rsid w:val="00606F8E"/>
    <w:rsid w:val="00607B33"/>
    <w:rsid w:val="0061390B"/>
    <w:rsid w:val="00613C85"/>
    <w:rsid w:val="00614233"/>
    <w:rsid w:val="00615012"/>
    <w:rsid w:val="006208DC"/>
    <w:rsid w:val="00620C71"/>
    <w:rsid w:val="00620FA2"/>
    <w:rsid w:val="00621B2A"/>
    <w:rsid w:val="00621DEF"/>
    <w:rsid w:val="00621E3B"/>
    <w:rsid w:val="0062212F"/>
    <w:rsid w:val="006221F4"/>
    <w:rsid w:val="0062486B"/>
    <w:rsid w:val="00626CE1"/>
    <w:rsid w:val="0062706D"/>
    <w:rsid w:val="006324B9"/>
    <w:rsid w:val="006336EA"/>
    <w:rsid w:val="00634BBE"/>
    <w:rsid w:val="00636AFE"/>
    <w:rsid w:val="006402D8"/>
    <w:rsid w:val="0064096A"/>
    <w:rsid w:val="00641F3D"/>
    <w:rsid w:val="00642315"/>
    <w:rsid w:val="0064518F"/>
    <w:rsid w:val="00647D53"/>
    <w:rsid w:val="006517F7"/>
    <w:rsid w:val="0065394E"/>
    <w:rsid w:val="006543B5"/>
    <w:rsid w:val="00654ACB"/>
    <w:rsid w:val="00654FDE"/>
    <w:rsid w:val="00655620"/>
    <w:rsid w:val="00660866"/>
    <w:rsid w:val="006614ED"/>
    <w:rsid w:val="00662DF3"/>
    <w:rsid w:val="00662E44"/>
    <w:rsid w:val="00664513"/>
    <w:rsid w:val="0066597D"/>
    <w:rsid w:val="00671199"/>
    <w:rsid w:val="0067140D"/>
    <w:rsid w:val="006714AF"/>
    <w:rsid w:val="00671C6F"/>
    <w:rsid w:val="00672AA4"/>
    <w:rsid w:val="00673432"/>
    <w:rsid w:val="006742E8"/>
    <w:rsid w:val="006754E7"/>
    <w:rsid w:val="006765B1"/>
    <w:rsid w:val="00676B9D"/>
    <w:rsid w:val="00676D63"/>
    <w:rsid w:val="00677156"/>
    <w:rsid w:val="00677626"/>
    <w:rsid w:val="00677BC1"/>
    <w:rsid w:val="00680192"/>
    <w:rsid w:val="00680A55"/>
    <w:rsid w:val="00682925"/>
    <w:rsid w:val="006845BB"/>
    <w:rsid w:val="00684696"/>
    <w:rsid w:val="00684B89"/>
    <w:rsid w:val="00685146"/>
    <w:rsid w:val="006855CA"/>
    <w:rsid w:val="00685725"/>
    <w:rsid w:val="006905A8"/>
    <w:rsid w:val="00691155"/>
    <w:rsid w:val="0069259D"/>
    <w:rsid w:val="0069396A"/>
    <w:rsid w:val="006939C7"/>
    <w:rsid w:val="00694093"/>
    <w:rsid w:val="006960BB"/>
    <w:rsid w:val="00696625"/>
    <w:rsid w:val="00696B40"/>
    <w:rsid w:val="00697581"/>
    <w:rsid w:val="00697589"/>
    <w:rsid w:val="006A0FCE"/>
    <w:rsid w:val="006A1333"/>
    <w:rsid w:val="006A2AB5"/>
    <w:rsid w:val="006A435F"/>
    <w:rsid w:val="006A546F"/>
    <w:rsid w:val="006A5A84"/>
    <w:rsid w:val="006A71F3"/>
    <w:rsid w:val="006B0D05"/>
    <w:rsid w:val="006B12F3"/>
    <w:rsid w:val="006B23AD"/>
    <w:rsid w:val="006B27E5"/>
    <w:rsid w:val="006B3A78"/>
    <w:rsid w:val="006B5CE9"/>
    <w:rsid w:val="006B5FCB"/>
    <w:rsid w:val="006B62CC"/>
    <w:rsid w:val="006C0A84"/>
    <w:rsid w:val="006C0FC9"/>
    <w:rsid w:val="006C29DE"/>
    <w:rsid w:val="006C5064"/>
    <w:rsid w:val="006C50EC"/>
    <w:rsid w:val="006C7B3C"/>
    <w:rsid w:val="006D2BCE"/>
    <w:rsid w:val="006D33BD"/>
    <w:rsid w:val="006D3660"/>
    <w:rsid w:val="006D3D4D"/>
    <w:rsid w:val="006D5406"/>
    <w:rsid w:val="006D5F0F"/>
    <w:rsid w:val="006D6330"/>
    <w:rsid w:val="006D7A74"/>
    <w:rsid w:val="006D7DE7"/>
    <w:rsid w:val="006E01BE"/>
    <w:rsid w:val="006E04B1"/>
    <w:rsid w:val="006E2212"/>
    <w:rsid w:val="006E478E"/>
    <w:rsid w:val="006E5F3F"/>
    <w:rsid w:val="006E7077"/>
    <w:rsid w:val="006F0716"/>
    <w:rsid w:val="006F2421"/>
    <w:rsid w:val="006F412C"/>
    <w:rsid w:val="0070107B"/>
    <w:rsid w:val="00701EEC"/>
    <w:rsid w:val="0070225A"/>
    <w:rsid w:val="00702544"/>
    <w:rsid w:val="007060BF"/>
    <w:rsid w:val="00706783"/>
    <w:rsid w:val="0070787F"/>
    <w:rsid w:val="00711062"/>
    <w:rsid w:val="00711402"/>
    <w:rsid w:val="0071156A"/>
    <w:rsid w:val="007118E4"/>
    <w:rsid w:val="00712A24"/>
    <w:rsid w:val="00713223"/>
    <w:rsid w:val="007138F2"/>
    <w:rsid w:val="00713F2F"/>
    <w:rsid w:val="0071490D"/>
    <w:rsid w:val="00714C13"/>
    <w:rsid w:val="00714F27"/>
    <w:rsid w:val="00717423"/>
    <w:rsid w:val="007210EC"/>
    <w:rsid w:val="0072123A"/>
    <w:rsid w:val="00721A2A"/>
    <w:rsid w:val="00721A5D"/>
    <w:rsid w:val="00721DAF"/>
    <w:rsid w:val="00724D07"/>
    <w:rsid w:val="00724EC4"/>
    <w:rsid w:val="00725AED"/>
    <w:rsid w:val="007262C0"/>
    <w:rsid w:val="007264D5"/>
    <w:rsid w:val="007319E7"/>
    <w:rsid w:val="00731ADA"/>
    <w:rsid w:val="00731C3E"/>
    <w:rsid w:val="007322B2"/>
    <w:rsid w:val="00734010"/>
    <w:rsid w:val="00734190"/>
    <w:rsid w:val="0073455F"/>
    <w:rsid w:val="00734889"/>
    <w:rsid w:val="00734D7B"/>
    <w:rsid w:val="007364C4"/>
    <w:rsid w:val="00736637"/>
    <w:rsid w:val="007403E9"/>
    <w:rsid w:val="0074337C"/>
    <w:rsid w:val="00743820"/>
    <w:rsid w:val="0074523F"/>
    <w:rsid w:val="007452FE"/>
    <w:rsid w:val="0074533E"/>
    <w:rsid w:val="00745CF5"/>
    <w:rsid w:val="00747116"/>
    <w:rsid w:val="00747E4B"/>
    <w:rsid w:val="00750F62"/>
    <w:rsid w:val="007529E4"/>
    <w:rsid w:val="00752F22"/>
    <w:rsid w:val="00754343"/>
    <w:rsid w:val="007549C4"/>
    <w:rsid w:val="007560C7"/>
    <w:rsid w:val="007561D6"/>
    <w:rsid w:val="0075700D"/>
    <w:rsid w:val="0075721A"/>
    <w:rsid w:val="00757331"/>
    <w:rsid w:val="007619D0"/>
    <w:rsid w:val="00761E04"/>
    <w:rsid w:val="007634F9"/>
    <w:rsid w:val="00765536"/>
    <w:rsid w:val="00765FBE"/>
    <w:rsid w:val="0076638D"/>
    <w:rsid w:val="00772076"/>
    <w:rsid w:val="00772BF1"/>
    <w:rsid w:val="0077301C"/>
    <w:rsid w:val="007738CD"/>
    <w:rsid w:val="00773B7E"/>
    <w:rsid w:val="00774AE8"/>
    <w:rsid w:val="00774FBC"/>
    <w:rsid w:val="00775124"/>
    <w:rsid w:val="007752F3"/>
    <w:rsid w:val="0077560C"/>
    <w:rsid w:val="0077604D"/>
    <w:rsid w:val="00776838"/>
    <w:rsid w:val="00777316"/>
    <w:rsid w:val="0077776C"/>
    <w:rsid w:val="00781B9B"/>
    <w:rsid w:val="0078367C"/>
    <w:rsid w:val="00784088"/>
    <w:rsid w:val="00784AE1"/>
    <w:rsid w:val="007853C7"/>
    <w:rsid w:val="00787206"/>
    <w:rsid w:val="00790026"/>
    <w:rsid w:val="007909B8"/>
    <w:rsid w:val="00792C93"/>
    <w:rsid w:val="0079434A"/>
    <w:rsid w:val="00796009"/>
    <w:rsid w:val="00796DBD"/>
    <w:rsid w:val="007A10DC"/>
    <w:rsid w:val="007A176D"/>
    <w:rsid w:val="007A3009"/>
    <w:rsid w:val="007A53C2"/>
    <w:rsid w:val="007A62D5"/>
    <w:rsid w:val="007A7451"/>
    <w:rsid w:val="007A79F7"/>
    <w:rsid w:val="007B11D3"/>
    <w:rsid w:val="007B151C"/>
    <w:rsid w:val="007B243A"/>
    <w:rsid w:val="007B394E"/>
    <w:rsid w:val="007C0D4E"/>
    <w:rsid w:val="007C11B2"/>
    <w:rsid w:val="007C2334"/>
    <w:rsid w:val="007C3005"/>
    <w:rsid w:val="007C45E6"/>
    <w:rsid w:val="007C5E35"/>
    <w:rsid w:val="007C64CC"/>
    <w:rsid w:val="007C68E5"/>
    <w:rsid w:val="007C6C8E"/>
    <w:rsid w:val="007C6E6B"/>
    <w:rsid w:val="007C7889"/>
    <w:rsid w:val="007D0A69"/>
    <w:rsid w:val="007D1663"/>
    <w:rsid w:val="007D276A"/>
    <w:rsid w:val="007D6282"/>
    <w:rsid w:val="007D69B9"/>
    <w:rsid w:val="007D70F8"/>
    <w:rsid w:val="007E14EC"/>
    <w:rsid w:val="007E1B96"/>
    <w:rsid w:val="007E4A7D"/>
    <w:rsid w:val="007F1931"/>
    <w:rsid w:val="007F322D"/>
    <w:rsid w:val="007F4E83"/>
    <w:rsid w:val="007F5184"/>
    <w:rsid w:val="007F626F"/>
    <w:rsid w:val="007F692B"/>
    <w:rsid w:val="007F7535"/>
    <w:rsid w:val="0080055A"/>
    <w:rsid w:val="0080057E"/>
    <w:rsid w:val="008032D1"/>
    <w:rsid w:val="008051A8"/>
    <w:rsid w:val="00810FC7"/>
    <w:rsid w:val="008116A3"/>
    <w:rsid w:val="00811C86"/>
    <w:rsid w:val="00811E84"/>
    <w:rsid w:val="00812B72"/>
    <w:rsid w:val="00813FF3"/>
    <w:rsid w:val="00817AB5"/>
    <w:rsid w:val="0082047E"/>
    <w:rsid w:val="0082073E"/>
    <w:rsid w:val="00823E33"/>
    <w:rsid w:val="00825FCA"/>
    <w:rsid w:val="008272F6"/>
    <w:rsid w:val="00832F8A"/>
    <w:rsid w:val="00833664"/>
    <w:rsid w:val="008337A1"/>
    <w:rsid w:val="00833DBC"/>
    <w:rsid w:val="00835127"/>
    <w:rsid w:val="00840340"/>
    <w:rsid w:val="00841694"/>
    <w:rsid w:val="008437DE"/>
    <w:rsid w:val="008447A5"/>
    <w:rsid w:val="00846319"/>
    <w:rsid w:val="00846379"/>
    <w:rsid w:val="008504D9"/>
    <w:rsid w:val="00853572"/>
    <w:rsid w:val="008547A2"/>
    <w:rsid w:val="00854A7E"/>
    <w:rsid w:val="00856EC9"/>
    <w:rsid w:val="0086206C"/>
    <w:rsid w:val="00862891"/>
    <w:rsid w:val="00862F01"/>
    <w:rsid w:val="008632E9"/>
    <w:rsid w:val="00863598"/>
    <w:rsid w:val="00866493"/>
    <w:rsid w:val="00866A97"/>
    <w:rsid w:val="00866DF4"/>
    <w:rsid w:val="00867DB6"/>
    <w:rsid w:val="00867DE0"/>
    <w:rsid w:val="00872F39"/>
    <w:rsid w:val="00876615"/>
    <w:rsid w:val="00883391"/>
    <w:rsid w:val="00883DFB"/>
    <w:rsid w:val="00883F5E"/>
    <w:rsid w:val="00884093"/>
    <w:rsid w:val="00884B9E"/>
    <w:rsid w:val="0088596A"/>
    <w:rsid w:val="00886978"/>
    <w:rsid w:val="00886F0F"/>
    <w:rsid w:val="00887F5D"/>
    <w:rsid w:val="00890B23"/>
    <w:rsid w:val="00891CD9"/>
    <w:rsid w:val="0089301C"/>
    <w:rsid w:val="00893571"/>
    <w:rsid w:val="00893D58"/>
    <w:rsid w:val="00893D60"/>
    <w:rsid w:val="00895C70"/>
    <w:rsid w:val="008976E3"/>
    <w:rsid w:val="008A0B34"/>
    <w:rsid w:val="008A1728"/>
    <w:rsid w:val="008A189B"/>
    <w:rsid w:val="008A3558"/>
    <w:rsid w:val="008A472C"/>
    <w:rsid w:val="008A55A0"/>
    <w:rsid w:val="008A6078"/>
    <w:rsid w:val="008A7871"/>
    <w:rsid w:val="008B3EE6"/>
    <w:rsid w:val="008B4CF1"/>
    <w:rsid w:val="008B4DB3"/>
    <w:rsid w:val="008B5122"/>
    <w:rsid w:val="008C0752"/>
    <w:rsid w:val="008C2B09"/>
    <w:rsid w:val="008C3453"/>
    <w:rsid w:val="008C399B"/>
    <w:rsid w:val="008C495A"/>
    <w:rsid w:val="008C4D0B"/>
    <w:rsid w:val="008C63C6"/>
    <w:rsid w:val="008C7664"/>
    <w:rsid w:val="008D1088"/>
    <w:rsid w:val="008D11E5"/>
    <w:rsid w:val="008D1316"/>
    <w:rsid w:val="008D4DF0"/>
    <w:rsid w:val="008D59B0"/>
    <w:rsid w:val="008D5DC3"/>
    <w:rsid w:val="008E1AAC"/>
    <w:rsid w:val="008E2EFF"/>
    <w:rsid w:val="008E338F"/>
    <w:rsid w:val="008E70AD"/>
    <w:rsid w:val="008F0D26"/>
    <w:rsid w:val="008F20D9"/>
    <w:rsid w:val="008F332A"/>
    <w:rsid w:val="008F34CD"/>
    <w:rsid w:val="008F3F3F"/>
    <w:rsid w:val="008F5BC6"/>
    <w:rsid w:val="008F7568"/>
    <w:rsid w:val="00901B69"/>
    <w:rsid w:val="00902093"/>
    <w:rsid w:val="00902D5C"/>
    <w:rsid w:val="00902E35"/>
    <w:rsid w:val="009063D7"/>
    <w:rsid w:val="00906536"/>
    <w:rsid w:val="0090708D"/>
    <w:rsid w:val="0091106A"/>
    <w:rsid w:val="00911607"/>
    <w:rsid w:val="00914037"/>
    <w:rsid w:val="00916087"/>
    <w:rsid w:val="00916199"/>
    <w:rsid w:val="00916852"/>
    <w:rsid w:val="009201E3"/>
    <w:rsid w:val="00922916"/>
    <w:rsid w:val="00923F8E"/>
    <w:rsid w:val="00923FB7"/>
    <w:rsid w:val="00924056"/>
    <w:rsid w:val="00924E07"/>
    <w:rsid w:val="00925564"/>
    <w:rsid w:val="00925A8C"/>
    <w:rsid w:val="009278FE"/>
    <w:rsid w:val="009302D9"/>
    <w:rsid w:val="00932074"/>
    <w:rsid w:val="0093384C"/>
    <w:rsid w:val="0093434E"/>
    <w:rsid w:val="009351D7"/>
    <w:rsid w:val="00935E9B"/>
    <w:rsid w:val="009369B1"/>
    <w:rsid w:val="009370A3"/>
    <w:rsid w:val="00937E44"/>
    <w:rsid w:val="00941109"/>
    <w:rsid w:val="00942BD0"/>
    <w:rsid w:val="00942D69"/>
    <w:rsid w:val="00944A19"/>
    <w:rsid w:val="00944BA1"/>
    <w:rsid w:val="00945EED"/>
    <w:rsid w:val="00945F69"/>
    <w:rsid w:val="009475E9"/>
    <w:rsid w:val="00947C58"/>
    <w:rsid w:val="009517CF"/>
    <w:rsid w:val="009527C3"/>
    <w:rsid w:val="00954315"/>
    <w:rsid w:val="00955BF4"/>
    <w:rsid w:val="00956B0B"/>
    <w:rsid w:val="00956E0A"/>
    <w:rsid w:val="00957EB1"/>
    <w:rsid w:val="00961FD1"/>
    <w:rsid w:val="00963F33"/>
    <w:rsid w:val="0096517E"/>
    <w:rsid w:val="0096566D"/>
    <w:rsid w:val="009659DF"/>
    <w:rsid w:val="00965B42"/>
    <w:rsid w:val="0097174A"/>
    <w:rsid w:val="009742A7"/>
    <w:rsid w:val="00975458"/>
    <w:rsid w:val="00975EAF"/>
    <w:rsid w:val="00977A5F"/>
    <w:rsid w:val="00981763"/>
    <w:rsid w:val="00985C2B"/>
    <w:rsid w:val="0098625D"/>
    <w:rsid w:val="00986279"/>
    <w:rsid w:val="00986C34"/>
    <w:rsid w:val="00990195"/>
    <w:rsid w:val="00991823"/>
    <w:rsid w:val="00994394"/>
    <w:rsid w:val="00995026"/>
    <w:rsid w:val="00996D30"/>
    <w:rsid w:val="00997CC0"/>
    <w:rsid w:val="009A14EB"/>
    <w:rsid w:val="009A228B"/>
    <w:rsid w:val="009A2E72"/>
    <w:rsid w:val="009A37E6"/>
    <w:rsid w:val="009A3A88"/>
    <w:rsid w:val="009A433C"/>
    <w:rsid w:val="009A44A9"/>
    <w:rsid w:val="009A4E49"/>
    <w:rsid w:val="009A6449"/>
    <w:rsid w:val="009A690F"/>
    <w:rsid w:val="009A7E36"/>
    <w:rsid w:val="009B0703"/>
    <w:rsid w:val="009B1F37"/>
    <w:rsid w:val="009B3073"/>
    <w:rsid w:val="009B3102"/>
    <w:rsid w:val="009B360E"/>
    <w:rsid w:val="009B4C7A"/>
    <w:rsid w:val="009B62BC"/>
    <w:rsid w:val="009B6FBB"/>
    <w:rsid w:val="009B71C0"/>
    <w:rsid w:val="009B780A"/>
    <w:rsid w:val="009C21B5"/>
    <w:rsid w:val="009C3602"/>
    <w:rsid w:val="009C4269"/>
    <w:rsid w:val="009C60C6"/>
    <w:rsid w:val="009C7D72"/>
    <w:rsid w:val="009D105B"/>
    <w:rsid w:val="009D1C35"/>
    <w:rsid w:val="009D1C94"/>
    <w:rsid w:val="009D1F95"/>
    <w:rsid w:val="009D292D"/>
    <w:rsid w:val="009D406F"/>
    <w:rsid w:val="009D46EB"/>
    <w:rsid w:val="009D4E54"/>
    <w:rsid w:val="009D5253"/>
    <w:rsid w:val="009D717D"/>
    <w:rsid w:val="009E0805"/>
    <w:rsid w:val="009E0C35"/>
    <w:rsid w:val="009E3D34"/>
    <w:rsid w:val="009E7182"/>
    <w:rsid w:val="009E7330"/>
    <w:rsid w:val="009F0444"/>
    <w:rsid w:val="009F0736"/>
    <w:rsid w:val="009F197E"/>
    <w:rsid w:val="009F1DFD"/>
    <w:rsid w:val="009F296E"/>
    <w:rsid w:val="009F471A"/>
    <w:rsid w:val="009F5C3D"/>
    <w:rsid w:val="009F64D7"/>
    <w:rsid w:val="009F6AD4"/>
    <w:rsid w:val="009F6E61"/>
    <w:rsid w:val="00A006CC"/>
    <w:rsid w:val="00A01646"/>
    <w:rsid w:val="00A01DAA"/>
    <w:rsid w:val="00A03224"/>
    <w:rsid w:val="00A03C2C"/>
    <w:rsid w:val="00A04C2F"/>
    <w:rsid w:val="00A078EB"/>
    <w:rsid w:val="00A11900"/>
    <w:rsid w:val="00A12F5E"/>
    <w:rsid w:val="00A13155"/>
    <w:rsid w:val="00A132B0"/>
    <w:rsid w:val="00A1423E"/>
    <w:rsid w:val="00A16054"/>
    <w:rsid w:val="00A16713"/>
    <w:rsid w:val="00A17ED6"/>
    <w:rsid w:val="00A21137"/>
    <w:rsid w:val="00A2133B"/>
    <w:rsid w:val="00A21A6F"/>
    <w:rsid w:val="00A23AF2"/>
    <w:rsid w:val="00A23BEA"/>
    <w:rsid w:val="00A25899"/>
    <w:rsid w:val="00A32FA7"/>
    <w:rsid w:val="00A34D6E"/>
    <w:rsid w:val="00A35DE1"/>
    <w:rsid w:val="00A400B4"/>
    <w:rsid w:val="00A450DB"/>
    <w:rsid w:val="00A45BC9"/>
    <w:rsid w:val="00A5273F"/>
    <w:rsid w:val="00A548E2"/>
    <w:rsid w:val="00A56548"/>
    <w:rsid w:val="00A56BC7"/>
    <w:rsid w:val="00A57EB7"/>
    <w:rsid w:val="00A62BA1"/>
    <w:rsid w:val="00A6340D"/>
    <w:rsid w:val="00A64EB1"/>
    <w:rsid w:val="00A65DA6"/>
    <w:rsid w:val="00A70225"/>
    <w:rsid w:val="00A72896"/>
    <w:rsid w:val="00A7366F"/>
    <w:rsid w:val="00A73FEF"/>
    <w:rsid w:val="00A75A46"/>
    <w:rsid w:val="00A75C6D"/>
    <w:rsid w:val="00A76B37"/>
    <w:rsid w:val="00A76CD3"/>
    <w:rsid w:val="00A85FF1"/>
    <w:rsid w:val="00A86EA2"/>
    <w:rsid w:val="00A87097"/>
    <w:rsid w:val="00A87864"/>
    <w:rsid w:val="00A906E0"/>
    <w:rsid w:val="00A91399"/>
    <w:rsid w:val="00A934D5"/>
    <w:rsid w:val="00A93B5B"/>
    <w:rsid w:val="00A93D71"/>
    <w:rsid w:val="00A96A6B"/>
    <w:rsid w:val="00AA108E"/>
    <w:rsid w:val="00AA2817"/>
    <w:rsid w:val="00AA2E87"/>
    <w:rsid w:val="00AA2F2D"/>
    <w:rsid w:val="00AA305B"/>
    <w:rsid w:val="00AA348E"/>
    <w:rsid w:val="00AA5D3D"/>
    <w:rsid w:val="00AA63B8"/>
    <w:rsid w:val="00AA63F3"/>
    <w:rsid w:val="00AA7012"/>
    <w:rsid w:val="00AB0449"/>
    <w:rsid w:val="00AB1242"/>
    <w:rsid w:val="00AB17CC"/>
    <w:rsid w:val="00AB24A7"/>
    <w:rsid w:val="00AB24C8"/>
    <w:rsid w:val="00AB2ED0"/>
    <w:rsid w:val="00AB2FE9"/>
    <w:rsid w:val="00AB2FF5"/>
    <w:rsid w:val="00AB6218"/>
    <w:rsid w:val="00AB7438"/>
    <w:rsid w:val="00AC1BA0"/>
    <w:rsid w:val="00AC1EDC"/>
    <w:rsid w:val="00AC214E"/>
    <w:rsid w:val="00AC37A5"/>
    <w:rsid w:val="00AC3E51"/>
    <w:rsid w:val="00AC4376"/>
    <w:rsid w:val="00AC655C"/>
    <w:rsid w:val="00AC79EE"/>
    <w:rsid w:val="00AC7E56"/>
    <w:rsid w:val="00AD2E52"/>
    <w:rsid w:val="00AD315F"/>
    <w:rsid w:val="00AD4A8F"/>
    <w:rsid w:val="00AE0352"/>
    <w:rsid w:val="00AE0C9A"/>
    <w:rsid w:val="00AE1051"/>
    <w:rsid w:val="00AE1133"/>
    <w:rsid w:val="00AE20BC"/>
    <w:rsid w:val="00AE4790"/>
    <w:rsid w:val="00AE5FA8"/>
    <w:rsid w:val="00AE6812"/>
    <w:rsid w:val="00AE70E3"/>
    <w:rsid w:val="00AE7152"/>
    <w:rsid w:val="00AE7377"/>
    <w:rsid w:val="00AE7C1D"/>
    <w:rsid w:val="00AE7CF2"/>
    <w:rsid w:val="00AF1BEE"/>
    <w:rsid w:val="00AF26EF"/>
    <w:rsid w:val="00AF313F"/>
    <w:rsid w:val="00AF3688"/>
    <w:rsid w:val="00AF42E0"/>
    <w:rsid w:val="00AF5B15"/>
    <w:rsid w:val="00AF635F"/>
    <w:rsid w:val="00AF7006"/>
    <w:rsid w:val="00B0363C"/>
    <w:rsid w:val="00B04CCE"/>
    <w:rsid w:val="00B05620"/>
    <w:rsid w:val="00B05F05"/>
    <w:rsid w:val="00B06257"/>
    <w:rsid w:val="00B06766"/>
    <w:rsid w:val="00B06D4E"/>
    <w:rsid w:val="00B06F71"/>
    <w:rsid w:val="00B076E3"/>
    <w:rsid w:val="00B11578"/>
    <w:rsid w:val="00B11797"/>
    <w:rsid w:val="00B1296F"/>
    <w:rsid w:val="00B12E4A"/>
    <w:rsid w:val="00B12E56"/>
    <w:rsid w:val="00B137B6"/>
    <w:rsid w:val="00B17758"/>
    <w:rsid w:val="00B17CA5"/>
    <w:rsid w:val="00B23814"/>
    <w:rsid w:val="00B249AE"/>
    <w:rsid w:val="00B25E60"/>
    <w:rsid w:val="00B2642B"/>
    <w:rsid w:val="00B27C7D"/>
    <w:rsid w:val="00B31027"/>
    <w:rsid w:val="00B344DB"/>
    <w:rsid w:val="00B34E86"/>
    <w:rsid w:val="00B355B3"/>
    <w:rsid w:val="00B3584F"/>
    <w:rsid w:val="00B35E4E"/>
    <w:rsid w:val="00B3662B"/>
    <w:rsid w:val="00B37569"/>
    <w:rsid w:val="00B375A7"/>
    <w:rsid w:val="00B378A1"/>
    <w:rsid w:val="00B40588"/>
    <w:rsid w:val="00B408DB"/>
    <w:rsid w:val="00B42F2F"/>
    <w:rsid w:val="00B43674"/>
    <w:rsid w:val="00B470F0"/>
    <w:rsid w:val="00B511AC"/>
    <w:rsid w:val="00B512F7"/>
    <w:rsid w:val="00B51C79"/>
    <w:rsid w:val="00B52ACB"/>
    <w:rsid w:val="00B5311B"/>
    <w:rsid w:val="00B53CEC"/>
    <w:rsid w:val="00B53E9A"/>
    <w:rsid w:val="00B56A71"/>
    <w:rsid w:val="00B56D05"/>
    <w:rsid w:val="00B57EA8"/>
    <w:rsid w:val="00B60E07"/>
    <w:rsid w:val="00B61E8B"/>
    <w:rsid w:val="00B6294F"/>
    <w:rsid w:val="00B62B46"/>
    <w:rsid w:val="00B63097"/>
    <w:rsid w:val="00B63C3A"/>
    <w:rsid w:val="00B63E48"/>
    <w:rsid w:val="00B64036"/>
    <w:rsid w:val="00B648FB"/>
    <w:rsid w:val="00B65BF4"/>
    <w:rsid w:val="00B668F0"/>
    <w:rsid w:val="00B70F73"/>
    <w:rsid w:val="00B71308"/>
    <w:rsid w:val="00B73FDF"/>
    <w:rsid w:val="00B74F20"/>
    <w:rsid w:val="00B77620"/>
    <w:rsid w:val="00B811E8"/>
    <w:rsid w:val="00B852B5"/>
    <w:rsid w:val="00B86738"/>
    <w:rsid w:val="00B8695B"/>
    <w:rsid w:val="00B8775F"/>
    <w:rsid w:val="00B87911"/>
    <w:rsid w:val="00B87B34"/>
    <w:rsid w:val="00B92617"/>
    <w:rsid w:val="00B92C54"/>
    <w:rsid w:val="00B9307B"/>
    <w:rsid w:val="00B939C9"/>
    <w:rsid w:val="00B93A13"/>
    <w:rsid w:val="00B93E31"/>
    <w:rsid w:val="00B94CC3"/>
    <w:rsid w:val="00B94D45"/>
    <w:rsid w:val="00B97298"/>
    <w:rsid w:val="00B97F73"/>
    <w:rsid w:val="00BA0944"/>
    <w:rsid w:val="00BA1B6F"/>
    <w:rsid w:val="00BA3D36"/>
    <w:rsid w:val="00BA5055"/>
    <w:rsid w:val="00BA5C07"/>
    <w:rsid w:val="00BA797F"/>
    <w:rsid w:val="00BB08EA"/>
    <w:rsid w:val="00BB0DC3"/>
    <w:rsid w:val="00BB14FB"/>
    <w:rsid w:val="00BB19F5"/>
    <w:rsid w:val="00BB200E"/>
    <w:rsid w:val="00BB5246"/>
    <w:rsid w:val="00BB62E4"/>
    <w:rsid w:val="00BB65C7"/>
    <w:rsid w:val="00BB6B32"/>
    <w:rsid w:val="00BB77B3"/>
    <w:rsid w:val="00BC34C1"/>
    <w:rsid w:val="00BC3A90"/>
    <w:rsid w:val="00BC6A18"/>
    <w:rsid w:val="00BC6DAF"/>
    <w:rsid w:val="00BC7033"/>
    <w:rsid w:val="00BD03EB"/>
    <w:rsid w:val="00BD0521"/>
    <w:rsid w:val="00BD0FAE"/>
    <w:rsid w:val="00BD2F0C"/>
    <w:rsid w:val="00BD31E5"/>
    <w:rsid w:val="00BD38E9"/>
    <w:rsid w:val="00BD5379"/>
    <w:rsid w:val="00BD6C8E"/>
    <w:rsid w:val="00BD7B65"/>
    <w:rsid w:val="00BE4966"/>
    <w:rsid w:val="00BE5574"/>
    <w:rsid w:val="00BE57A4"/>
    <w:rsid w:val="00BE6CCE"/>
    <w:rsid w:val="00BF0657"/>
    <w:rsid w:val="00BF0E1F"/>
    <w:rsid w:val="00BF1009"/>
    <w:rsid w:val="00BF20DF"/>
    <w:rsid w:val="00BF4B81"/>
    <w:rsid w:val="00BF601A"/>
    <w:rsid w:val="00C000B7"/>
    <w:rsid w:val="00C02082"/>
    <w:rsid w:val="00C02609"/>
    <w:rsid w:val="00C02FD2"/>
    <w:rsid w:val="00C04C6A"/>
    <w:rsid w:val="00C050DE"/>
    <w:rsid w:val="00C0689D"/>
    <w:rsid w:val="00C07DC7"/>
    <w:rsid w:val="00C10631"/>
    <w:rsid w:val="00C11B53"/>
    <w:rsid w:val="00C1313E"/>
    <w:rsid w:val="00C16B92"/>
    <w:rsid w:val="00C172D1"/>
    <w:rsid w:val="00C20D81"/>
    <w:rsid w:val="00C20E3A"/>
    <w:rsid w:val="00C21397"/>
    <w:rsid w:val="00C215E8"/>
    <w:rsid w:val="00C24014"/>
    <w:rsid w:val="00C26F8A"/>
    <w:rsid w:val="00C30476"/>
    <w:rsid w:val="00C317F3"/>
    <w:rsid w:val="00C3207A"/>
    <w:rsid w:val="00C3216B"/>
    <w:rsid w:val="00C33DE8"/>
    <w:rsid w:val="00C34144"/>
    <w:rsid w:val="00C3606D"/>
    <w:rsid w:val="00C36580"/>
    <w:rsid w:val="00C3671C"/>
    <w:rsid w:val="00C410D0"/>
    <w:rsid w:val="00C42217"/>
    <w:rsid w:val="00C429DB"/>
    <w:rsid w:val="00C47E62"/>
    <w:rsid w:val="00C51E17"/>
    <w:rsid w:val="00C527DF"/>
    <w:rsid w:val="00C55F2D"/>
    <w:rsid w:val="00C5701B"/>
    <w:rsid w:val="00C572C5"/>
    <w:rsid w:val="00C572C7"/>
    <w:rsid w:val="00C6023E"/>
    <w:rsid w:val="00C60FC3"/>
    <w:rsid w:val="00C62758"/>
    <w:rsid w:val="00C6282B"/>
    <w:rsid w:val="00C629E5"/>
    <w:rsid w:val="00C629F3"/>
    <w:rsid w:val="00C6785F"/>
    <w:rsid w:val="00C7189F"/>
    <w:rsid w:val="00C74F78"/>
    <w:rsid w:val="00C75277"/>
    <w:rsid w:val="00C75749"/>
    <w:rsid w:val="00C75C54"/>
    <w:rsid w:val="00C75EB2"/>
    <w:rsid w:val="00C76DED"/>
    <w:rsid w:val="00C779D2"/>
    <w:rsid w:val="00C803EB"/>
    <w:rsid w:val="00C821F0"/>
    <w:rsid w:val="00C82320"/>
    <w:rsid w:val="00C8504A"/>
    <w:rsid w:val="00C856F1"/>
    <w:rsid w:val="00C85935"/>
    <w:rsid w:val="00C85A12"/>
    <w:rsid w:val="00C86141"/>
    <w:rsid w:val="00C86FCF"/>
    <w:rsid w:val="00C87C67"/>
    <w:rsid w:val="00C90E52"/>
    <w:rsid w:val="00C9335F"/>
    <w:rsid w:val="00C95872"/>
    <w:rsid w:val="00C967E1"/>
    <w:rsid w:val="00CA1053"/>
    <w:rsid w:val="00CA1DFF"/>
    <w:rsid w:val="00CA5F5A"/>
    <w:rsid w:val="00CA6493"/>
    <w:rsid w:val="00CA6CF8"/>
    <w:rsid w:val="00CA6F3D"/>
    <w:rsid w:val="00CA7C3A"/>
    <w:rsid w:val="00CA7DCE"/>
    <w:rsid w:val="00CB0683"/>
    <w:rsid w:val="00CB0D06"/>
    <w:rsid w:val="00CB1E19"/>
    <w:rsid w:val="00CB281C"/>
    <w:rsid w:val="00CB3CB5"/>
    <w:rsid w:val="00CB40EF"/>
    <w:rsid w:val="00CB60A3"/>
    <w:rsid w:val="00CB7239"/>
    <w:rsid w:val="00CB7D8B"/>
    <w:rsid w:val="00CB7F6D"/>
    <w:rsid w:val="00CC0D8C"/>
    <w:rsid w:val="00CC1886"/>
    <w:rsid w:val="00CC1B10"/>
    <w:rsid w:val="00CC4889"/>
    <w:rsid w:val="00CC706E"/>
    <w:rsid w:val="00CC7ADF"/>
    <w:rsid w:val="00CD0065"/>
    <w:rsid w:val="00CD1B57"/>
    <w:rsid w:val="00CD62BC"/>
    <w:rsid w:val="00CD6462"/>
    <w:rsid w:val="00CD6C45"/>
    <w:rsid w:val="00CE03AE"/>
    <w:rsid w:val="00CE552A"/>
    <w:rsid w:val="00CE5D0E"/>
    <w:rsid w:val="00CE69A5"/>
    <w:rsid w:val="00CE6AAC"/>
    <w:rsid w:val="00CE7718"/>
    <w:rsid w:val="00CF111C"/>
    <w:rsid w:val="00CF365B"/>
    <w:rsid w:val="00CF38BF"/>
    <w:rsid w:val="00CF4AF8"/>
    <w:rsid w:val="00CF4F0A"/>
    <w:rsid w:val="00CF50F1"/>
    <w:rsid w:val="00CF5FF4"/>
    <w:rsid w:val="00CF60EB"/>
    <w:rsid w:val="00CF61DB"/>
    <w:rsid w:val="00CF6F0B"/>
    <w:rsid w:val="00CF6F84"/>
    <w:rsid w:val="00D00D1C"/>
    <w:rsid w:val="00D02939"/>
    <w:rsid w:val="00D03DAC"/>
    <w:rsid w:val="00D04586"/>
    <w:rsid w:val="00D046E8"/>
    <w:rsid w:val="00D04E61"/>
    <w:rsid w:val="00D115C9"/>
    <w:rsid w:val="00D121F3"/>
    <w:rsid w:val="00D13C36"/>
    <w:rsid w:val="00D14F3A"/>
    <w:rsid w:val="00D155BA"/>
    <w:rsid w:val="00D1745D"/>
    <w:rsid w:val="00D20897"/>
    <w:rsid w:val="00D20F5A"/>
    <w:rsid w:val="00D232A9"/>
    <w:rsid w:val="00D2393E"/>
    <w:rsid w:val="00D24517"/>
    <w:rsid w:val="00D24638"/>
    <w:rsid w:val="00D24652"/>
    <w:rsid w:val="00D24E66"/>
    <w:rsid w:val="00D25819"/>
    <w:rsid w:val="00D262D6"/>
    <w:rsid w:val="00D27510"/>
    <w:rsid w:val="00D30B15"/>
    <w:rsid w:val="00D31CE5"/>
    <w:rsid w:val="00D326E4"/>
    <w:rsid w:val="00D3270A"/>
    <w:rsid w:val="00D332B0"/>
    <w:rsid w:val="00D33354"/>
    <w:rsid w:val="00D346E7"/>
    <w:rsid w:val="00D356AB"/>
    <w:rsid w:val="00D361E2"/>
    <w:rsid w:val="00D364BD"/>
    <w:rsid w:val="00D408C3"/>
    <w:rsid w:val="00D4144C"/>
    <w:rsid w:val="00D41F90"/>
    <w:rsid w:val="00D432EF"/>
    <w:rsid w:val="00D44EDF"/>
    <w:rsid w:val="00D45C9B"/>
    <w:rsid w:val="00D460C3"/>
    <w:rsid w:val="00D4676A"/>
    <w:rsid w:val="00D47F35"/>
    <w:rsid w:val="00D51619"/>
    <w:rsid w:val="00D51C80"/>
    <w:rsid w:val="00D54492"/>
    <w:rsid w:val="00D54A30"/>
    <w:rsid w:val="00D55B6A"/>
    <w:rsid w:val="00D55EEC"/>
    <w:rsid w:val="00D61091"/>
    <w:rsid w:val="00D616AC"/>
    <w:rsid w:val="00D61B0B"/>
    <w:rsid w:val="00D623FB"/>
    <w:rsid w:val="00D626A9"/>
    <w:rsid w:val="00D62B50"/>
    <w:rsid w:val="00D6362C"/>
    <w:rsid w:val="00D63B06"/>
    <w:rsid w:val="00D64070"/>
    <w:rsid w:val="00D66766"/>
    <w:rsid w:val="00D67486"/>
    <w:rsid w:val="00D67D8F"/>
    <w:rsid w:val="00D67E00"/>
    <w:rsid w:val="00D7051B"/>
    <w:rsid w:val="00D70C71"/>
    <w:rsid w:val="00D72221"/>
    <w:rsid w:val="00D72279"/>
    <w:rsid w:val="00D73510"/>
    <w:rsid w:val="00D745F2"/>
    <w:rsid w:val="00D74A98"/>
    <w:rsid w:val="00D7528A"/>
    <w:rsid w:val="00D7539A"/>
    <w:rsid w:val="00D766ED"/>
    <w:rsid w:val="00D779EE"/>
    <w:rsid w:val="00D8000F"/>
    <w:rsid w:val="00D817DF"/>
    <w:rsid w:val="00D842DC"/>
    <w:rsid w:val="00D846F6"/>
    <w:rsid w:val="00D85627"/>
    <w:rsid w:val="00D85DD3"/>
    <w:rsid w:val="00D870DA"/>
    <w:rsid w:val="00D90585"/>
    <w:rsid w:val="00D90912"/>
    <w:rsid w:val="00D91A40"/>
    <w:rsid w:val="00D92B21"/>
    <w:rsid w:val="00D93B9E"/>
    <w:rsid w:val="00D96C38"/>
    <w:rsid w:val="00DA1A10"/>
    <w:rsid w:val="00DA1FF4"/>
    <w:rsid w:val="00DA2C45"/>
    <w:rsid w:val="00DA3296"/>
    <w:rsid w:val="00DA40F2"/>
    <w:rsid w:val="00DA4364"/>
    <w:rsid w:val="00DA4433"/>
    <w:rsid w:val="00DA4DDE"/>
    <w:rsid w:val="00DA7267"/>
    <w:rsid w:val="00DB1028"/>
    <w:rsid w:val="00DB18F8"/>
    <w:rsid w:val="00DB24EE"/>
    <w:rsid w:val="00DB286D"/>
    <w:rsid w:val="00DB3860"/>
    <w:rsid w:val="00DB4958"/>
    <w:rsid w:val="00DB49D2"/>
    <w:rsid w:val="00DB7C0B"/>
    <w:rsid w:val="00DC05BD"/>
    <w:rsid w:val="00DC1075"/>
    <w:rsid w:val="00DC1716"/>
    <w:rsid w:val="00DD01A9"/>
    <w:rsid w:val="00DD2C88"/>
    <w:rsid w:val="00DD31A1"/>
    <w:rsid w:val="00DD3D9C"/>
    <w:rsid w:val="00DD6F41"/>
    <w:rsid w:val="00DE0281"/>
    <w:rsid w:val="00DE0803"/>
    <w:rsid w:val="00DE097A"/>
    <w:rsid w:val="00DE0BD0"/>
    <w:rsid w:val="00DE25B3"/>
    <w:rsid w:val="00DE386A"/>
    <w:rsid w:val="00DE77A9"/>
    <w:rsid w:val="00DE78A3"/>
    <w:rsid w:val="00DE7983"/>
    <w:rsid w:val="00DF040B"/>
    <w:rsid w:val="00DF117C"/>
    <w:rsid w:val="00DF1F5C"/>
    <w:rsid w:val="00DF3116"/>
    <w:rsid w:val="00DF4268"/>
    <w:rsid w:val="00DF6E8D"/>
    <w:rsid w:val="00DF7A0A"/>
    <w:rsid w:val="00E001E7"/>
    <w:rsid w:val="00E009C8"/>
    <w:rsid w:val="00E01F51"/>
    <w:rsid w:val="00E04088"/>
    <w:rsid w:val="00E05FBE"/>
    <w:rsid w:val="00E06DE5"/>
    <w:rsid w:val="00E07495"/>
    <w:rsid w:val="00E07CD8"/>
    <w:rsid w:val="00E07F8A"/>
    <w:rsid w:val="00E11323"/>
    <w:rsid w:val="00E11DE3"/>
    <w:rsid w:val="00E1214E"/>
    <w:rsid w:val="00E14254"/>
    <w:rsid w:val="00E1449B"/>
    <w:rsid w:val="00E16F0E"/>
    <w:rsid w:val="00E179A7"/>
    <w:rsid w:val="00E22326"/>
    <w:rsid w:val="00E22A65"/>
    <w:rsid w:val="00E23EAC"/>
    <w:rsid w:val="00E25343"/>
    <w:rsid w:val="00E26FE5"/>
    <w:rsid w:val="00E271B4"/>
    <w:rsid w:val="00E314FA"/>
    <w:rsid w:val="00E31806"/>
    <w:rsid w:val="00E31A14"/>
    <w:rsid w:val="00E33CCF"/>
    <w:rsid w:val="00E35196"/>
    <w:rsid w:val="00E358EC"/>
    <w:rsid w:val="00E40CBF"/>
    <w:rsid w:val="00E41C11"/>
    <w:rsid w:val="00E41FC8"/>
    <w:rsid w:val="00E430B7"/>
    <w:rsid w:val="00E443A0"/>
    <w:rsid w:val="00E460CC"/>
    <w:rsid w:val="00E4653D"/>
    <w:rsid w:val="00E4701B"/>
    <w:rsid w:val="00E47201"/>
    <w:rsid w:val="00E5131A"/>
    <w:rsid w:val="00E53870"/>
    <w:rsid w:val="00E53E91"/>
    <w:rsid w:val="00E5434A"/>
    <w:rsid w:val="00E6241D"/>
    <w:rsid w:val="00E636C3"/>
    <w:rsid w:val="00E63B0A"/>
    <w:rsid w:val="00E64263"/>
    <w:rsid w:val="00E64A0D"/>
    <w:rsid w:val="00E66177"/>
    <w:rsid w:val="00E66732"/>
    <w:rsid w:val="00E66F60"/>
    <w:rsid w:val="00E72032"/>
    <w:rsid w:val="00E7262E"/>
    <w:rsid w:val="00E7495B"/>
    <w:rsid w:val="00E74FDE"/>
    <w:rsid w:val="00E80652"/>
    <w:rsid w:val="00E817B7"/>
    <w:rsid w:val="00E83EAE"/>
    <w:rsid w:val="00E85139"/>
    <w:rsid w:val="00E853A1"/>
    <w:rsid w:val="00E857AC"/>
    <w:rsid w:val="00E85C7A"/>
    <w:rsid w:val="00E91A15"/>
    <w:rsid w:val="00E925CB"/>
    <w:rsid w:val="00E93C4E"/>
    <w:rsid w:val="00E94397"/>
    <w:rsid w:val="00E94909"/>
    <w:rsid w:val="00E94AC2"/>
    <w:rsid w:val="00E956B9"/>
    <w:rsid w:val="00E966A0"/>
    <w:rsid w:val="00E966E7"/>
    <w:rsid w:val="00E975B2"/>
    <w:rsid w:val="00EA4355"/>
    <w:rsid w:val="00EA589A"/>
    <w:rsid w:val="00EA712E"/>
    <w:rsid w:val="00EA7E2C"/>
    <w:rsid w:val="00EB14CD"/>
    <w:rsid w:val="00EB2197"/>
    <w:rsid w:val="00EB2CC2"/>
    <w:rsid w:val="00EB2FC5"/>
    <w:rsid w:val="00EB3AAA"/>
    <w:rsid w:val="00EB7358"/>
    <w:rsid w:val="00EC0A2F"/>
    <w:rsid w:val="00EC113B"/>
    <w:rsid w:val="00EC18E9"/>
    <w:rsid w:val="00EC3034"/>
    <w:rsid w:val="00EC5998"/>
    <w:rsid w:val="00EC5AAD"/>
    <w:rsid w:val="00EC6266"/>
    <w:rsid w:val="00EC7EE1"/>
    <w:rsid w:val="00ED0CBE"/>
    <w:rsid w:val="00ED2283"/>
    <w:rsid w:val="00ED2686"/>
    <w:rsid w:val="00ED632E"/>
    <w:rsid w:val="00ED6702"/>
    <w:rsid w:val="00ED69E5"/>
    <w:rsid w:val="00ED6C6E"/>
    <w:rsid w:val="00EE0C8E"/>
    <w:rsid w:val="00EE195C"/>
    <w:rsid w:val="00EE1CE2"/>
    <w:rsid w:val="00EE555D"/>
    <w:rsid w:val="00EE62A1"/>
    <w:rsid w:val="00EE6C02"/>
    <w:rsid w:val="00EE7D6E"/>
    <w:rsid w:val="00EF074C"/>
    <w:rsid w:val="00EF0F30"/>
    <w:rsid w:val="00EF2210"/>
    <w:rsid w:val="00EF2A71"/>
    <w:rsid w:val="00EF2F99"/>
    <w:rsid w:val="00EF3137"/>
    <w:rsid w:val="00EF36BC"/>
    <w:rsid w:val="00EF461C"/>
    <w:rsid w:val="00EF5C60"/>
    <w:rsid w:val="00EF6426"/>
    <w:rsid w:val="00F027FB"/>
    <w:rsid w:val="00F04AA0"/>
    <w:rsid w:val="00F05EFB"/>
    <w:rsid w:val="00F06964"/>
    <w:rsid w:val="00F069F9"/>
    <w:rsid w:val="00F0790B"/>
    <w:rsid w:val="00F106FA"/>
    <w:rsid w:val="00F1303A"/>
    <w:rsid w:val="00F13C7F"/>
    <w:rsid w:val="00F13DA6"/>
    <w:rsid w:val="00F14026"/>
    <w:rsid w:val="00F141F8"/>
    <w:rsid w:val="00F17645"/>
    <w:rsid w:val="00F20F47"/>
    <w:rsid w:val="00F210B0"/>
    <w:rsid w:val="00F21EFF"/>
    <w:rsid w:val="00F228D6"/>
    <w:rsid w:val="00F23D01"/>
    <w:rsid w:val="00F25451"/>
    <w:rsid w:val="00F25B55"/>
    <w:rsid w:val="00F264F6"/>
    <w:rsid w:val="00F2692F"/>
    <w:rsid w:val="00F30443"/>
    <w:rsid w:val="00F30C06"/>
    <w:rsid w:val="00F30D0D"/>
    <w:rsid w:val="00F30D45"/>
    <w:rsid w:val="00F31AB2"/>
    <w:rsid w:val="00F33F88"/>
    <w:rsid w:val="00F34608"/>
    <w:rsid w:val="00F371B8"/>
    <w:rsid w:val="00F4026D"/>
    <w:rsid w:val="00F406D9"/>
    <w:rsid w:val="00F435EC"/>
    <w:rsid w:val="00F44A39"/>
    <w:rsid w:val="00F44AD7"/>
    <w:rsid w:val="00F4517D"/>
    <w:rsid w:val="00F4578A"/>
    <w:rsid w:val="00F47B20"/>
    <w:rsid w:val="00F50130"/>
    <w:rsid w:val="00F51E47"/>
    <w:rsid w:val="00F53D11"/>
    <w:rsid w:val="00F53F37"/>
    <w:rsid w:val="00F54FAA"/>
    <w:rsid w:val="00F555E5"/>
    <w:rsid w:val="00F55752"/>
    <w:rsid w:val="00F55ADF"/>
    <w:rsid w:val="00F56198"/>
    <w:rsid w:val="00F56CCE"/>
    <w:rsid w:val="00F56D03"/>
    <w:rsid w:val="00F57CB4"/>
    <w:rsid w:val="00F61454"/>
    <w:rsid w:val="00F61895"/>
    <w:rsid w:val="00F62C45"/>
    <w:rsid w:val="00F6398E"/>
    <w:rsid w:val="00F6417D"/>
    <w:rsid w:val="00F64B21"/>
    <w:rsid w:val="00F70606"/>
    <w:rsid w:val="00F71462"/>
    <w:rsid w:val="00F716C2"/>
    <w:rsid w:val="00F71A9C"/>
    <w:rsid w:val="00F72294"/>
    <w:rsid w:val="00F72907"/>
    <w:rsid w:val="00F72E8D"/>
    <w:rsid w:val="00F7413A"/>
    <w:rsid w:val="00F74767"/>
    <w:rsid w:val="00F74878"/>
    <w:rsid w:val="00F74A83"/>
    <w:rsid w:val="00F813EE"/>
    <w:rsid w:val="00F8154D"/>
    <w:rsid w:val="00F8250F"/>
    <w:rsid w:val="00F83481"/>
    <w:rsid w:val="00F85B54"/>
    <w:rsid w:val="00F87368"/>
    <w:rsid w:val="00F91985"/>
    <w:rsid w:val="00F9276E"/>
    <w:rsid w:val="00F92E90"/>
    <w:rsid w:val="00F93070"/>
    <w:rsid w:val="00F93084"/>
    <w:rsid w:val="00F937E6"/>
    <w:rsid w:val="00F93D8B"/>
    <w:rsid w:val="00F94A55"/>
    <w:rsid w:val="00F95036"/>
    <w:rsid w:val="00F95BFF"/>
    <w:rsid w:val="00F976A7"/>
    <w:rsid w:val="00FA0275"/>
    <w:rsid w:val="00FA0648"/>
    <w:rsid w:val="00FA202A"/>
    <w:rsid w:val="00FA2983"/>
    <w:rsid w:val="00FA29AD"/>
    <w:rsid w:val="00FA2F37"/>
    <w:rsid w:val="00FA32E7"/>
    <w:rsid w:val="00FA3A4F"/>
    <w:rsid w:val="00FA6475"/>
    <w:rsid w:val="00FA675A"/>
    <w:rsid w:val="00FA709F"/>
    <w:rsid w:val="00FB2E75"/>
    <w:rsid w:val="00FB3407"/>
    <w:rsid w:val="00FB3FCD"/>
    <w:rsid w:val="00FB42E3"/>
    <w:rsid w:val="00FB5370"/>
    <w:rsid w:val="00FB6BA1"/>
    <w:rsid w:val="00FC0AF3"/>
    <w:rsid w:val="00FC0C18"/>
    <w:rsid w:val="00FC141B"/>
    <w:rsid w:val="00FC141C"/>
    <w:rsid w:val="00FC334C"/>
    <w:rsid w:val="00FC5203"/>
    <w:rsid w:val="00FD061E"/>
    <w:rsid w:val="00FD1D74"/>
    <w:rsid w:val="00FD2969"/>
    <w:rsid w:val="00FD2989"/>
    <w:rsid w:val="00FD33D1"/>
    <w:rsid w:val="00FD4E7D"/>
    <w:rsid w:val="00FD5876"/>
    <w:rsid w:val="00FD75B8"/>
    <w:rsid w:val="00FD79DC"/>
    <w:rsid w:val="00FE1F0F"/>
    <w:rsid w:val="00FE33D3"/>
    <w:rsid w:val="00FE5167"/>
    <w:rsid w:val="00FE54C3"/>
    <w:rsid w:val="00FF1082"/>
    <w:rsid w:val="00FF2CEF"/>
    <w:rsid w:val="00FF2E23"/>
    <w:rsid w:val="00FF3674"/>
    <w:rsid w:val="00FF4268"/>
    <w:rsid w:val="00FF5674"/>
    <w:rsid w:val="00FF69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B6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E0B"/>
    <w:pPr>
      <w:spacing w:after="200" w:line="276" w:lineRule="auto"/>
    </w:pPr>
    <w:rPr>
      <w:rFonts w:cs="Calibri"/>
      <w:lang w:eastAsia="en-US"/>
    </w:rPr>
  </w:style>
  <w:style w:type="paragraph" w:styleId="1">
    <w:name w:val="heading 1"/>
    <w:basedOn w:val="a"/>
    <w:next w:val="a"/>
    <w:link w:val="1Char"/>
    <w:uiPriority w:val="99"/>
    <w:qFormat/>
    <w:rsid w:val="008504D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Char"/>
    <w:uiPriority w:val="99"/>
    <w:qFormat/>
    <w:rsid w:val="00A1423E"/>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Char"/>
    <w:uiPriority w:val="99"/>
    <w:qFormat/>
    <w:rsid w:val="0067140D"/>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Char"/>
    <w:uiPriority w:val="9"/>
    <w:unhideWhenUsed/>
    <w:qFormat/>
    <w:locked/>
    <w:rsid w:val="00D13C36"/>
    <w:pPr>
      <w:keepNext/>
      <w:keepLines/>
      <w:spacing w:before="80" w:after="40" w:line="312" w:lineRule="auto"/>
      <w:jc w:val="both"/>
      <w:outlineLvl w:val="3"/>
    </w:pPr>
    <w:rPr>
      <w:rFonts w:asciiTheme="minorHAnsi" w:eastAsiaTheme="majorEastAsia" w:hAnsiTheme="min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504D9"/>
    <w:rPr>
      <w:rFonts w:ascii="Cambria" w:hAnsi="Cambria" w:cs="Cambria"/>
      <w:b/>
      <w:bCs/>
      <w:color w:val="365F91"/>
      <w:sz w:val="28"/>
      <w:szCs w:val="28"/>
    </w:rPr>
  </w:style>
  <w:style w:type="character" w:customStyle="1" w:styleId="2Char">
    <w:name w:val="Επικεφαλίδα 2 Char"/>
    <w:basedOn w:val="a0"/>
    <w:link w:val="2"/>
    <w:uiPriority w:val="99"/>
    <w:locked/>
    <w:rsid w:val="00A1423E"/>
    <w:rPr>
      <w:rFonts w:ascii="Cambria" w:hAnsi="Cambria" w:cs="Cambria"/>
      <w:b/>
      <w:bCs/>
      <w:color w:val="4F81BD"/>
      <w:sz w:val="26"/>
      <w:szCs w:val="26"/>
    </w:rPr>
  </w:style>
  <w:style w:type="character" w:customStyle="1" w:styleId="3Char">
    <w:name w:val="Επικεφαλίδα 3 Char"/>
    <w:basedOn w:val="a0"/>
    <w:link w:val="3"/>
    <w:uiPriority w:val="99"/>
    <w:semiHidden/>
    <w:locked/>
    <w:rsid w:val="0067140D"/>
    <w:rPr>
      <w:rFonts w:ascii="Cambria" w:hAnsi="Cambria" w:cs="Cambria"/>
      <w:b/>
      <w:bCs/>
      <w:color w:val="4F81BD"/>
    </w:rPr>
  </w:style>
  <w:style w:type="paragraph" w:styleId="Web">
    <w:name w:val="Normal (Web)"/>
    <w:basedOn w:val="a"/>
    <w:uiPriority w:val="99"/>
    <w:rsid w:val="002F7DB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TOC Heading"/>
    <w:basedOn w:val="1"/>
    <w:next w:val="a"/>
    <w:uiPriority w:val="99"/>
    <w:qFormat/>
    <w:rsid w:val="009B360E"/>
    <w:pPr>
      <w:outlineLvl w:val="9"/>
    </w:pPr>
    <w:rPr>
      <w:lang w:eastAsia="el-GR"/>
    </w:rPr>
  </w:style>
  <w:style w:type="paragraph" w:styleId="10">
    <w:name w:val="toc 1"/>
    <w:basedOn w:val="a"/>
    <w:next w:val="a"/>
    <w:autoRedefine/>
    <w:uiPriority w:val="39"/>
    <w:rsid w:val="009B360E"/>
    <w:pPr>
      <w:spacing w:after="100"/>
    </w:pPr>
  </w:style>
  <w:style w:type="character" w:styleId="-">
    <w:name w:val="Hyperlink"/>
    <w:basedOn w:val="a0"/>
    <w:uiPriority w:val="99"/>
    <w:rsid w:val="009B360E"/>
    <w:rPr>
      <w:rFonts w:cs="Times New Roman"/>
      <w:color w:val="0000FF"/>
      <w:u w:val="single"/>
    </w:rPr>
  </w:style>
  <w:style w:type="paragraph" w:styleId="a4">
    <w:name w:val="Balloon Text"/>
    <w:basedOn w:val="a"/>
    <w:link w:val="Char"/>
    <w:uiPriority w:val="99"/>
    <w:semiHidden/>
    <w:rsid w:val="009B360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9B360E"/>
    <w:rPr>
      <w:rFonts w:ascii="Tahoma" w:hAnsi="Tahoma" w:cs="Tahoma"/>
      <w:sz w:val="16"/>
      <w:szCs w:val="16"/>
    </w:rPr>
  </w:style>
  <w:style w:type="paragraph" w:styleId="a5">
    <w:name w:val="List Paragraph"/>
    <w:basedOn w:val="a"/>
    <w:uiPriority w:val="34"/>
    <w:qFormat/>
    <w:rsid w:val="000D56B3"/>
    <w:pPr>
      <w:ind w:left="720"/>
    </w:pPr>
  </w:style>
  <w:style w:type="table" w:styleId="a6">
    <w:name w:val="Table Grid"/>
    <w:basedOn w:val="a1"/>
    <w:uiPriority w:val="99"/>
    <w:rsid w:val="000D56B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99"/>
    <w:qFormat/>
    <w:rsid w:val="000D56B3"/>
    <w:pPr>
      <w:spacing w:line="240" w:lineRule="auto"/>
    </w:pPr>
    <w:rPr>
      <w:b/>
      <w:bCs/>
      <w:color w:val="4F81BD"/>
      <w:sz w:val="18"/>
      <w:szCs w:val="18"/>
    </w:rPr>
  </w:style>
  <w:style w:type="paragraph" w:styleId="20">
    <w:name w:val="toc 2"/>
    <w:basedOn w:val="a"/>
    <w:next w:val="a"/>
    <w:autoRedefine/>
    <w:uiPriority w:val="39"/>
    <w:rsid w:val="002C1089"/>
    <w:pPr>
      <w:spacing w:after="100"/>
      <w:ind w:left="220"/>
    </w:pPr>
  </w:style>
  <w:style w:type="paragraph" w:styleId="a8">
    <w:name w:val="header"/>
    <w:basedOn w:val="a"/>
    <w:link w:val="Char0"/>
    <w:uiPriority w:val="99"/>
    <w:rsid w:val="00AF313F"/>
    <w:pPr>
      <w:tabs>
        <w:tab w:val="center" w:pos="4153"/>
        <w:tab w:val="right" w:pos="8306"/>
      </w:tabs>
      <w:spacing w:after="0" w:line="240" w:lineRule="auto"/>
    </w:pPr>
  </w:style>
  <w:style w:type="character" w:customStyle="1" w:styleId="Char0">
    <w:name w:val="Κεφαλίδα Char"/>
    <w:basedOn w:val="a0"/>
    <w:link w:val="a8"/>
    <w:uiPriority w:val="99"/>
    <w:locked/>
    <w:rsid w:val="00AF313F"/>
    <w:rPr>
      <w:rFonts w:cs="Times New Roman"/>
    </w:rPr>
  </w:style>
  <w:style w:type="paragraph" w:styleId="a9">
    <w:name w:val="footer"/>
    <w:basedOn w:val="a"/>
    <w:link w:val="Char1"/>
    <w:uiPriority w:val="99"/>
    <w:rsid w:val="00AF313F"/>
    <w:pPr>
      <w:tabs>
        <w:tab w:val="center" w:pos="4153"/>
        <w:tab w:val="right" w:pos="8306"/>
      </w:tabs>
      <w:spacing w:after="0" w:line="240" w:lineRule="auto"/>
    </w:pPr>
  </w:style>
  <w:style w:type="character" w:customStyle="1" w:styleId="Char1">
    <w:name w:val="Υποσέλιδο Char"/>
    <w:basedOn w:val="a0"/>
    <w:link w:val="a9"/>
    <w:uiPriority w:val="99"/>
    <w:locked/>
    <w:rsid w:val="00AF313F"/>
    <w:rPr>
      <w:rFonts w:cs="Times New Roman"/>
    </w:rPr>
  </w:style>
  <w:style w:type="paragraph" w:customStyle="1" w:styleId="Default">
    <w:name w:val="Default"/>
    <w:uiPriority w:val="99"/>
    <w:rsid w:val="00524FE3"/>
    <w:pPr>
      <w:autoSpaceDE w:val="0"/>
      <w:autoSpaceDN w:val="0"/>
      <w:adjustRightInd w:val="0"/>
    </w:pPr>
    <w:rPr>
      <w:rFonts w:cs="Calibri"/>
      <w:color w:val="000000"/>
      <w:sz w:val="24"/>
      <w:szCs w:val="24"/>
      <w:lang w:eastAsia="en-US"/>
    </w:rPr>
  </w:style>
  <w:style w:type="paragraph" w:styleId="aa">
    <w:name w:val="footnote text"/>
    <w:basedOn w:val="a"/>
    <w:link w:val="Char2"/>
    <w:uiPriority w:val="99"/>
    <w:semiHidden/>
    <w:rsid w:val="001C05BE"/>
    <w:pPr>
      <w:spacing w:after="0" w:line="240" w:lineRule="auto"/>
    </w:pPr>
    <w:rPr>
      <w:sz w:val="20"/>
      <w:szCs w:val="20"/>
    </w:rPr>
  </w:style>
  <w:style w:type="character" w:customStyle="1" w:styleId="Char2">
    <w:name w:val="Κείμενο υποσημείωσης Char"/>
    <w:basedOn w:val="a0"/>
    <w:link w:val="aa"/>
    <w:uiPriority w:val="99"/>
    <w:semiHidden/>
    <w:locked/>
    <w:rsid w:val="001C05BE"/>
    <w:rPr>
      <w:rFonts w:cs="Times New Roman"/>
      <w:sz w:val="20"/>
      <w:szCs w:val="20"/>
    </w:rPr>
  </w:style>
  <w:style w:type="character" w:styleId="ab">
    <w:name w:val="footnote reference"/>
    <w:basedOn w:val="a0"/>
    <w:uiPriority w:val="99"/>
    <w:semiHidden/>
    <w:rsid w:val="001C05BE"/>
    <w:rPr>
      <w:rFonts w:cs="Times New Roman"/>
      <w:vertAlign w:val="superscript"/>
    </w:rPr>
  </w:style>
  <w:style w:type="character" w:styleId="ac">
    <w:name w:val="Placeholder Text"/>
    <w:basedOn w:val="a0"/>
    <w:uiPriority w:val="99"/>
    <w:semiHidden/>
    <w:rsid w:val="00202325"/>
    <w:rPr>
      <w:rFonts w:cs="Times New Roman"/>
      <w:color w:val="808080"/>
    </w:rPr>
  </w:style>
  <w:style w:type="paragraph" w:styleId="ad">
    <w:name w:val="endnote text"/>
    <w:basedOn w:val="a"/>
    <w:link w:val="Char3"/>
    <w:uiPriority w:val="99"/>
    <w:semiHidden/>
    <w:rsid w:val="00B65BF4"/>
    <w:pPr>
      <w:spacing w:after="0" w:line="240" w:lineRule="auto"/>
    </w:pPr>
    <w:rPr>
      <w:sz w:val="20"/>
      <w:szCs w:val="20"/>
    </w:rPr>
  </w:style>
  <w:style w:type="character" w:customStyle="1" w:styleId="Char3">
    <w:name w:val="Κείμενο σημείωσης τέλους Char"/>
    <w:basedOn w:val="a0"/>
    <w:link w:val="ad"/>
    <w:uiPriority w:val="99"/>
    <w:semiHidden/>
    <w:locked/>
    <w:rsid w:val="00B65BF4"/>
    <w:rPr>
      <w:rFonts w:cs="Times New Roman"/>
      <w:sz w:val="20"/>
      <w:szCs w:val="20"/>
    </w:rPr>
  </w:style>
  <w:style w:type="character" w:styleId="ae">
    <w:name w:val="endnote reference"/>
    <w:basedOn w:val="a0"/>
    <w:uiPriority w:val="99"/>
    <w:semiHidden/>
    <w:rsid w:val="00B65BF4"/>
    <w:rPr>
      <w:rFonts w:cs="Times New Roman"/>
      <w:vertAlign w:val="superscript"/>
    </w:rPr>
  </w:style>
  <w:style w:type="character" w:styleId="-0">
    <w:name w:val="FollowedHyperlink"/>
    <w:basedOn w:val="a0"/>
    <w:uiPriority w:val="99"/>
    <w:semiHidden/>
    <w:rsid w:val="001935E2"/>
    <w:rPr>
      <w:rFonts w:cs="Times New Roman"/>
      <w:color w:val="800080"/>
      <w:u w:val="single"/>
    </w:rPr>
  </w:style>
  <w:style w:type="character" w:styleId="af">
    <w:name w:val="annotation reference"/>
    <w:basedOn w:val="a0"/>
    <w:uiPriority w:val="99"/>
    <w:semiHidden/>
    <w:rsid w:val="00620C71"/>
    <w:rPr>
      <w:rFonts w:cs="Times New Roman"/>
      <w:sz w:val="16"/>
      <w:szCs w:val="16"/>
    </w:rPr>
  </w:style>
  <w:style w:type="paragraph" w:styleId="af0">
    <w:name w:val="annotation text"/>
    <w:basedOn w:val="a"/>
    <w:link w:val="Char4"/>
    <w:uiPriority w:val="99"/>
    <w:semiHidden/>
    <w:rsid w:val="00620C71"/>
    <w:pPr>
      <w:spacing w:line="240" w:lineRule="auto"/>
    </w:pPr>
    <w:rPr>
      <w:sz w:val="20"/>
      <w:szCs w:val="20"/>
    </w:rPr>
  </w:style>
  <w:style w:type="character" w:customStyle="1" w:styleId="Char4">
    <w:name w:val="Κείμενο σχολίου Char"/>
    <w:basedOn w:val="a0"/>
    <w:link w:val="af0"/>
    <w:uiPriority w:val="99"/>
    <w:semiHidden/>
    <w:locked/>
    <w:rsid w:val="00620C71"/>
    <w:rPr>
      <w:rFonts w:cs="Times New Roman"/>
      <w:sz w:val="20"/>
      <w:szCs w:val="20"/>
    </w:rPr>
  </w:style>
  <w:style w:type="paragraph" w:styleId="af1">
    <w:name w:val="annotation subject"/>
    <w:basedOn w:val="af0"/>
    <w:next w:val="af0"/>
    <w:link w:val="Char5"/>
    <w:uiPriority w:val="99"/>
    <w:semiHidden/>
    <w:rsid w:val="00620C71"/>
    <w:rPr>
      <w:b/>
      <w:bCs/>
    </w:rPr>
  </w:style>
  <w:style w:type="character" w:customStyle="1" w:styleId="Char5">
    <w:name w:val="Θέμα σχολίου Char"/>
    <w:basedOn w:val="Char4"/>
    <w:link w:val="af1"/>
    <w:uiPriority w:val="99"/>
    <w:semiHidden/>
    <w:locked/>
    <w:rsid w:val="00620C71"/>
    <w:rPr>
      <w:rFonts w:cs="Times New Roman"/>
      <w:b/>
      <w:bCs/>
      <w:sz w:val="20"/>
      <w:szCs w:val="20"/>
    </w:rPr>
  </w:style>
  <w:style w:type="paragraph" w:styleId="af2">
    <w:name w:val="Revision"/>
    <w:hidden/>
    <w:uiPriority w:val="99"/>
    <w:semiHidden/>
    <w:rsid w:val="00F83481"/>
    <w:rPr>
      <w:rFonts w:cs="Calibri"/>
      <w:lang w:eastAsia="en-US"/>
    </w:rPr>
  </w:style>
  <w:style w:type="paragraph" w:styleId="30">
    <w:name w:val="toc 3"/>
    <w:basedOn w:val="a"/>
    <w:next w:val="a"/>
    <w:autoRedefine/>
    <w:uiPriority w:val="39"/>
    <w:locked/>
    <w:rsid w:val="00734889"/>
    <w:pPr>
      <w:spacing w:after="100"/>
      <w:ind w:left="440"/>
    </w:pPr>
  </w:style>
  <w:style w:type="character" w:customStyle="1" w:styleId="4Char">
    <w:name w:val="Επικεφαλίδα 4 Char"/>
    <w:basedOn w:val="a0"/>
    <w:link w:val="4"/>
    <w:uiPriority w:val="9"/>
    <w:rsid w:val="00D13C36"/>
    <w:rPr>
      <w:rFonts w:asciiTheme="minorHAnsi" w:eastAsiaTheme="majorEastAsia" w:hAnsiTheme="minorHAnsi" w:cstheme="majorBidi"/>
      <w:i/>
      <w:iCs/>
      <w:color w:val="365F91" w:themeColor="accent1" w:themeShade="BF"/>
      <w:lang w:eastAsia="en-US"/>
    </w:rPr>
  </w:style>
  <w:style w:type="character" w:styleId="af3">
    <w:name w:val="Unresolved Mention"/>
    <w:basedOn w:val="a0"/>
    <w:uiPriority w:val="99"/>
    <w:semiHidden/>
    <w:unhideWhenUsed/>
    <w:rsid w:val="00B11578"/>
    <w:rPr>
      <w:color w:val="605E5C"/>
      <w:shd w:val="clear" w:color="auto" w:fill="E1DFDD"/>
    </w:rPr>
  </w:style>
  <w:style w:type="character" w:styleId="af4">
    <w:name w:val="line number"/>
    <w:basedOn w:val="a0"/>
    <w:uiPriority w:val="99"/>
    <w:semiHidden/>
    <w:unhideWhenUsed/>
    <w:rsid w:val="00C0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974">
      <w:bodyDiv w:val="1"/>
      <w:marLeft w:val="0"/>
      <w:marRight w:val="0"/>
      <w:marTop w:val="0"/>
      <w:marBottom w:val="0"/>
      <w:divBdr>
        <w:top w:val="none" w:sz="0" w:space="0" w:color="auto"/>
        <w:left w:val="none" w:sz="0" w:space="0" w:color="auto"/>
        <w:bottom w:val="none" w:sz="0" w:space="0" w:color="auto"/>
        <w:right w:val="none" w:sz="0" w:space="0" w:color="auto"/>
      </w:divBdr>
    </w:div>
    <w:div w:id="72550178">
      <w:bodyDiv w:val="1"/>
      <w:marLeft w:val="0"/>
      <w:marRight w:val="0"/>
      <w:marTop w:val="0"/>
      <w:marBottom w:val="0"/>
      <w:divBdr>
        <w:top w:val="none" w:sz="0" w:space="0" w:color="auto"/>
        <w:left w:val="none" w:sz="0" w:space="0" w:color="auto"/>
        <w:bottom w:val="none" w:sz="0" w:space="0" w:color="auto"/>
        <w:right w:val="none" w:sz="0" w:space="0" w:color="auto"/>
      </w:divBdr>
    </w:div>
    <w:div w:id="260767824">
      <w:bodyDiv w:val="1"/>
      <w:marLeft w:val="0"/>
      <w:marRight w:val="0"/>
      <w:marTop w:val="0"/>
      <w:marBottom w:val="0"/>
      <w:divBdr>
        <w:top w:val="none" w:sz="0" w:space="0" w:color="auto"/>
        <w:left w:val="none" w:sz="0" w:space="0" w:color="auto"/>
        <w:bottom w:val="none" w:sz="0" w:space="0" w:color="auto"/>
        <w:right w:val="none" w:sz="0" w:space="0" w:color="auto"/>
      </w:divBdr>
      <w:divsChild>
        <w:div w:id="1420370623">
          <w:marLeft w:val="547"/>
          <w:marRight w:val="0"/>
          <w:marTop w:val="0"/>
          <w:marBottom w:val="0"/>
          <w:divBdr>
            <w:top w:val="none" w:sz="0" w:space="0" w:color="auto"/>
            <w:left w:val="none" w:sz="0" w:space="0" w:color="auto"/>
            <w:bottom w:val="none" w:sz="0" w:space="0" w:color="auto"/>
            <w:right w:val="none" w:sz="0" w:space="0" w:color="auto"/>
          </w:divBdr>
        </w:div>
      </w:divsChild>
    </w:div>
    <w:div w:id="476803309">
      <w:bodyDiv w:val="1"/>
      <w:marLeft w:val="0"/>
      <w:marRight w:val="0"/>
      <w:marTop w:val="0"/>
      <w:marBottom w:val="0"/>
      <w:divBdr>
        <w:top w:val="none" w:sz="0" w:space="0" w:color="auto"/>
        <w:left w:val="none" w:sz="0" w:space="0" w:color="auto"/>
        <w:bottom w:val="none" w:sz="0" w:space="0" w:color="auto"/>
        <w:right w:val="none" w:sz="0" w:space="0" w:color="auto"/>
      </w:divBdr>
    </w:div>
    <w:div w:id="511720476">
      <w:bodyDiv w:val="1"/>
      <w:marLeft w:val="0"/>
      <w:marRight w:val="0"/>
      <w:marTop w:val="0"/>
      <w:marBottom w:val="0"/>
      <w:divBdr>
        <w:top w:val="none" w:sz="0" w:space="0" w:color="auto"/>
        <w:left w:val="none" w:sz="0" w:space="0" w:color="auto"/>
        <w:bottom w:val="none" w:sz="0" w:space="0" w:color="auto"/>
        <w:right w:val="none" w:sz="0" w:space="0" w:color="auto"/>
      </w:divBdr>
      <w:divsChild>
        <w:div w:id="1648514789">
          <w:marLeft w:val="547"/>
          <w:marRight w:val="0"/>
          <w:marTop w:val="0"/>
          <w:marBottom w:val="0"/>
          <w:divBdr>
            <w:top w:val="none" w:sz="0" w:space="0" w:color="auto"/>
            <w:left w:val="none" w:sz="0" w:space="0" w:color="auto"/>
            <w:bottom w:val="none" w:sz="0" w:space="0" w:color="auto"/>
            <w:right w:val="none" w:sz="0" w:space="0" w:color="auto"/>
          </w:divBdr>
        </w:div>
      </w:divsChild>
    </w:div>
    <w:div w:id="562105401">
      <w:bodyDiv w:val="1"/>
      <w:marLeft w:val="0"/>
      <w:marRight w:val="0"/>
      <w:marTop w:val="0"/>
      <w:marBottom w:val="0"/>
      <w:divBdr>
        <w:top w:val="none" w:sz="0" w:space="0" w:color="auto"/>
        <w:left w:val="none" w:sz="0" w:space="0" w:color="auto"/>
        <w:bottom w:val="none" w:sz="0" w:space="0" w:color="auto"/>
        <w:right w:val="none" w:sz="0" w:space="0" w:color="auto"/>
      </w:divBdr>
      <w:divsChild>
        <w:div w:id="917637631">
          <w:marLeft w:val="446"/>
          <w:marRight w:val="0"/>
          <w:marTop w:val="0"/>
          <w:marBottom w:val="0"/>
          <w:divBdr>
            <w:top w:val="none" w:sz="0" w:space="0" w:color="auto"/>
            <w:left w:val="none" w:sz="0" w:space="0" w:color="auto"/>
            <w:bottom w:val="none" w:sz="0" w:space="0" w:color="auto"/>
            <w:right w:val="none" w:sz="0" w:space="0" w:color="auto"/>
          </w:divBdr>
        </w:div>
        <w:div w:id="1099906384">
          <w:marLeft w:val="446"/>
          <w:marRight w:val="0"/>
          <w:marTop w:val="0"/>
          <w:marBottom w:val="0"/>
          <w:divBdr>
            <w:top w:val="none" w:sz="0" w:space="0" w:color="auto"/>
            <w:left w:val="none" w:sz="0" w:space="0" w:color="auto"/>
            <w:bottom w:val="none" w:sz="0" w:space="0" w:color="auto"/>
            <w:right w:val="none" w:sz="0" w:space="0" w:color="auto"/>
          </w:divBdr>
        </w:div>
        <w:div w:id="1348405636">
          <w:marLeft w:val="446"/>
          <w:marRight w:val="0"/>
          <w:marTop w:val="0"/>
          <w:marBottom w:val="0"/>
          <w:divBdr>
            <w:top w:val="none" w:sz="0" w:space="0" w:color="auto"/>
            <w:left w:val="none" w:sz="0" w:space="0" w:color="auto"/>
            <w:bottom w:val="none" w:sz="0" w:space="0" w:color="auto"/>
            <w:right w:val="none" w:sz="0" w:space="0" w:color="auto"/>
          </w:divBdr>
        </w:div>
        <w:div w:id="669915142">
          <w:marLeft w:val="446"/>
          <w:marRight w:val="0"/>
          <w:marTop w:val="0"/>
          <w:marBottom w:val="0"/>
          <w:divBdr>
            <w:top w:val="none" w:sz="0" w:space="0" w:color="auto"/>
            <w:left w:val="none" w:sz="0" w:space="0" w:color="auto"/>
            <w:bottom w:val="none" w:sz="0" w:space="0" w:color="auto"/>
            <w:right w:val="none" w:sz="0" w:space="0" w:color="auto"/>
          </w:divBdr>
        </w:div>
        <w:div w:id="1374960839">
          <w:marLeft w:val="446"/>
          <w:marRight w:val="0"/>
          <w:marTop w:val="0"/>
          <w:marBottom w:val="0"/>
          <w:divBdr>
            <w:top w:val="none" w:sz="0" w:space="0" w:color="auto"/>
            <w:left w:val="none" w:sz="0" w:space="0" w:color="auto"/>
            <w:bottom w:val="none" w:sz="0" w:space="0" w:color="auto"/>
            <w:right w:val="none" w:sz="0" w:space="0" w:color="auto"/>
          </w:divBdr>
        </w:div>
        <w:div w:id="25107111">
          <w:marLeft w:val="446"/>
          <w:marRight w:val="0"/>
          <w:marTop w:val="0"/>
          <w:marBottom w:val="0"/>
          <w:divBdr>
            <w:top w:val="none" w:sz="0" w:space="0" w:color="auto"/>
            <w:left w:val="none" w:sz="0" w:space="0" w:color="auto"/>
            <w:bottom w:val="none" w:sz="0" w:space="0" w:color="auto"/>
            <w:right w:val="none" w:sz="0" w:space="0" w:color="auto"/>
          </w:divBdr>
        </w:div>
        <w:div w:id="922687142">
          <w:marLeft w:val="446"/>
          <w:marRight w:val="0"/>
          <w:marTop w:val="0"/>
          <w:marBottom w:val="0"/>
          <w:divBdr>
            <w:top w:val="none" w:sz="0" w:space="0" w:color="auto"/>
            <w:left w:val="none" w:sz="0" w:space="0" w:color="auto"/>
            <w:bottom w:val="none" w:sz="0" w:space="0" w:color="auto"/>
            <w:right w:val="none" w:sz="0" w:space="0" w:color="auto"/>
          </w:divBdr>
        </w:div>
        <w:div w:id="1623537466">
          <w:marLeft w:val="446"/>
          <w:marRight w:val="0"/>
          <w:marTop w:val="0"/>
          <w:marBottom w:val="0"/>
          <w:divBdr>
            <w:top w:val="none" w:sz="0" w:space="0" w:color="auto"/>
            <w:left w:val="none" w:sz="0" w:space="0" w:color="auto"/>
            <w:bottom w:val="none" w:sz="0" w:space="0" w:color="auto"/>
            <w:right w:val="none" w:sz="0" w:space="0" w:color="auto"/>
          </w:divBdr>
        </w:div>
        <w:div w:id="407191645">
          <w:marLeft w:val="446"/>
          <w:marRight w:val="0"/>
          <w:marTop w:val="0"/>
          <w:marBottom w:val="0"/>
          <w:divBdr>
            <w:top w:val="none" w:sz="0" w:space="0" w:color="auto"/>
            <w:left w:val="none" w:sz="0" w:space="0" w:color="auto"/>
            <w:bottom w:val="none" w:sz="0" w:space="0" w:color="auto"/>
            <w:right w:val="none" w:sz="0" w:space="0" w:color="auto"/>
          </w:divBdr>
        </w:div>
        <w:div w:id="388043571">
          <w:marLeft w:val="446"/>
          <w:marRight w:val="0"/>
          <w:marTop w:val="0"/>
          <w:marBottom w:val="0"/>
          <w:divBdr>
            <w:top w:val="none" w:sz="0" w:space="0" w:color="auto"/>
            <w:left w:val="none" w:sz="0" w:space="0" w:color="auto"/>
            <w:bottom w:val="none" w:sz="0" w:space="0" w:color="auto"/>
            <w:right w:val="none" w:sz="0" w:space="0" w:color="auto"/>
          </w:divBdr>
        </w:div>
        <w:div w:id="1028332486">
          <w:marLeft w:val="446"/>
          <w:marRight w:val="0"/>
          <w:marTop w:val="0"/>
          <w:marBottom w:val="0"/>
          <w:divBdr>
            <w:top w:val="none" w:sz="0" w:space="0" w:color="auto"/>
            <w:left w:val="none" w:sz="0" w:space="0" w:color="auto"/>
            <w:bottom w:val="none" w:sz="0" w:space="0" w:color="auto"/>
            <w:right w:val="none" w:sz="0" w:space="0" w:color="auto"/>
          </w:divBdr>
        </w:div>
        <w:div w:id="841436218">
          <w:marLeft w:val="446"/>
          <w:marRight w:val="0"/>
          <w:marTop w:val="0"/>
          <w:marBottom w:val="0"/>
          <w:divBdr>
            <w:top w:val="none" w:sz="0" w:space="0" w:color="auto"/>
            <w:left w:val="none" w:sz="0" w:space="0" w:color="auto"/>
            <w:bottom w:val="none" w:sz="0" w:space="0" w:color="auto"/>
            <w:right w:val="none" w:sz="0" w:space="0" w:color="auto"/>
          </w:divBdr>
        </w:div>
        <w:div w:id="228460777">
          <w:marLeft w:val="446"/>
          <w:marRight w:val="0"/>
          <w:marTop w:val="0"/>
          <w:marBottom w:val="0"/>
          <w:divBdr>
            <w:top w:val="none" w:sz="0" w:space="0" w:color="auto"/>
            <w:left w:val="none" w:sz="0" w:space="0" w:color="auto"/>
            <w:bottom w:val="none" w:sz="0" w:space="0" w:color="auto"/>
            <w:right w:val="none" w:sz="0" w:space="0" w:color="auto"/>
          </w:divBdr>
        </w:div>
        <w:div w:id="944922751">
          <w:marLeft w:val="446"/>
          <w:marRight w:val="0"/>
          <w:marTop w:val="0"/>
          <w:marBottom w:val="0"/>
          <w:divBdr>
            <w:top w:val="none" w:sz="0" w:space="0" w:color="auto"/>
            <w:left w:val="none" w:sz="0" w:space="0" w:color="auto"/>
            <w:bottom w:val="none" w:sz="0" w:space="0" w:color="auto"/>
            <w:right w:val="none" w:sz="0" w:space="0" w:color="auto"/>
          </w:divBdr>
        </w:div>
      </w:divsChild>
    </w:div>
    <w:div w:id="568463714">
      <w:bodyDiv w:val="1"/>
      <w:marLeft w:val="0"/>
      <w:marRight w:val="0"/>
      <w:marTop w:val="0"/>
      <w:marBottom w:val="0"/>
      <w:divBdr>
        <w:top w:val="none" w:sz="0" w:space="0" w:color="auto"/>
        <w:left w:val="none" w:sz="0" w:space="0" w:color="auto"/>
        <w:bottom w:val="none" w:sz="0" w:space="0" w:color="auto"/>
        <w:right w:val="none" w:sz="0" w:space="0" w:color="auto"/>
      </w:divBdr>
      <w:divsChild>
        <w:div w:id="46346662">
          <w:marLeft w:val="446"/>
          <w:marRight w:val="0"/>
          <w:marTop w:val="0"/>
          <w:marBottom w:val="0"/>
          <w:divBdr>
            <w:top w:val="none" w:sz="0" w:space="0" w:color="auto"/>
            <w:left w:val="none" w:sz="0" w:space="0" w:color="auto"/>
            <w:bottom w:val="none" w:sz="0" w:space="0" w:color="auto"/>
            <w:right w:val="none" w:sz="0" w:space="0" w:color="auto"/>
          </w:divBdr>
        </w:div>
        <w:div w:id="1937053339">
          <w:marLeft w:val="446"/>
          <w:marRight w:val="0"/>
          <w:marTop w:val="0"/>
          <w:marBottom w:val="0"/>
          <w:divBdr>
            <w:top w:val="none" w:sz="0" w:space="0" w:color="auto"/>
            <w:left w:val="none" w:sz="0" w:space="0" w:color="auto"/>
            <w:bottom w:val="none" w:sz="0" w:space="0" w:color="auto"/>
            <w:right w:val="none" w:sz="0" w:space="0" w:color="auto"/>
          </w:divBdr>
        </w:div>
      </w:divsChild>
    </w:div>
    <w:div w:id="592737088">
      <w:bodyDiv w:val="1"/>
      <w:marLeft w:val="0"/>
      <w:marRight w:val="0"/>
      <w:marTop w:val="0"/>
      <w:marBottom w:val="0"/>
      <w:divBdr>
        <w:top w:val="none" w:sz="0" w:space="0" w:color="auto"/>
        <w:left w:val="none" w:sz="0" w:space="0" w:color="auto"/>
        <w:bottom w:val="none" w:sz="0" w:space="0" w:color="auto"/>
        <w:right w:val="none" w:sz="0" w:space="0" w:color="auto"/>
      </w:divBdr>
      <w:divsChild>
        <w:div w:id="1904946469">
          <w:marLeft w:val="446"/>
          <w:marRight w:val="0"/>
          <w:marTop w:val="0"/>
          <w:marBottom w:val="0"/>
          <w:divBdr>
            <w:top w:val="none" w:sz="0" w:space="0" w:color="auto"/>
            <w:left w:val="none" w:sz="0" w:space="0" w:color="auto"/>
            <w:bottom w:val="none" w:sz="0" w:space="0" w:color="auto"/>
            <w:right w:val="none" w:sz="0" w:space="0" w:color="auto"/>
          </w:divBdr>
        </w:div>
        <w:div w:id="479805823">
          <w:marLeft w:val="446"/>
          <w:marRight w:val="0"/>
          <w:marTop w:val="0"/>
          <w:marBottom w:val="0"/>
          <w:divBdr>
            <w:top w:val="none" w:sz="0" w:space="0" w:color="auto"/>
            <w:left w:val="none" w:sz="0" w:space="0" w:color="auto"/>
            <w:bottom w:val="none" w:sz="0" w:space="0" w:color="auto"/>
            <w:right w:val="none" w:sz="0" w:space="0" w:color="auto"/>
          </w:divBdr>
        </w:div>
        <w:div w:id="336151091">
          <w:marLeft w:val="446"/>
          <w:marRight w:val="0"/>
          <w:marTop w:val="0"/>
          <w:marBottom w:val="0"/>
          <w:divBdr>
            <w:top w:val="none" w:sz="0" w:space="0" w:color="auto"/>
            <w:left w:val="none" w:sz="0" w:space="0" w:color="auto"/>
            <w:bottom w:val="none" w:sz="0" w:space="0" w:color="auto"/>
            <w:right w:val="none" w:sz="0" w:space="0" w:color="auto"/>
          </w:divBdr>
        </w:div>
        <w:div w:id="1998535308">
          <w:marLeft w:val="446"/>
          <w:marRight w:val="0"/>
          <w:marTop w:val="0"/>
          <w:marBottom w:val="0"/>
          <w:divBdr>
            <w:top w:val="none" w:sz="0" w:space="0" w:color="auto"/>
            <w:left w:val="none" w:sz="0" w:space="0" w:color="auto"/>
            <w:bottom w:val="none" w:sz="0" w:space="0" w:color="auto"/>
            <w:right w:val="none" w:sz="0" w:space="0" w:color="auto"/>
          </w:divBdr>
        </w:div>
        <w:div w:id="1931886435">
          <w:marLeft w:val="446"/>
          <w:marRight w:val="0"/>
          <w:marTop w:val="0"/>
          <w:marBottom w:val="0"/>
          <w:divBdr>
            <w:top w:val="none" w:sz="0" w:space="0" w:color="auto"/>
            <w:left w:val="none" w:sz="0" w:space="0" w:color="auto"/>
            <w:bottom w:val="none" w:sz="0" w:space="0" w:color="auto"/>
            <w:right w:val="none" w:sz="0" w:space="0" w:color="auto"/>
          </w:divBdr>
        </w:div>
        <w:div w:id="1150244458">
          <w:marLeft w:val="446"/>
          <w:marRight w:val="0"/>
          <w:marTop w:val="0"/>
          <w:marBottom w:val="0"/>
          <w:divBdr>
            <w:top w:val="none" w:sz="0" w:space="0" w:color="auto"/>
            <w:left w:val="none" w:sz="0" w:space="0" w:color="auto"/>
            <w:bottom w:val="none" w:sz="0" w:space="0" w:color="auto"/>
            <w:right w:val="none" w:sz="0" w:space="0" w:color="auto"/>
          </w:divBdr>
        </w:div>
        <w:div w:id="1176729655">
          <w:marLeft w:val="446"/>
          <w:marRight w:val="0"/>
          <w:marTop w:val="0"/>
          <w:marBottom w:val="0"/>
          <w:divBdr>
            <w:top w:val="none" w:sz="0" w:space="0" w:color="auto"/>
            <w:left w:val="none" w:sz="0" w:space="0" w:color="auto"/>
            <w:bottom w:val="none" w:sz="0" w:space="0" w:color="auto"/>
            <w:right w:val="none" w:sz="0" w:space="0" w:color="auto"/>
          </w:divBdr>
        </w:div>
        <w:div w:id="476533454">
          <w:marLeft w:val="446"/>
          <w:marRight w:val="0"/>
          <w:marTop w:val="0"/>
          <w:marBottom w:val="0"/>
          <w:divBdr>
            <w:top w:val="none" w:sz="0" w:space="0" w:color="auto"/>
            <w:left w:val="none" w:sz="0" w:space="0" w:color="auto"/>
            <w:bottom w:val="none" w:sz="0" w:space="0" w:color="auto"/>
            <w:right w:val="none" w:sz="0" w:space="0" w:color="auto"/>
          </w:divBdr>
        </w:div>
        <w:div w:id="2138984605">
          <w:marLeft w:val="446"/>
          <w:marRight w:val="0"/>
          <w:marTop w:val="0"/>
          <w:marBottom w:val="0"/>
          <w:divBdr>
            <w:top w:val="none" w:sz="0" w:space="0" w:color="auto"/>
            <w:left w:val="none" w:sz="0" w:space="0" w:color="auto"/>
            <w:bottom w:val="none" w:sz="0" w:space="0" w:color="auto"/>
            <w:right w:val="none" w:sz="0" w:space="0" w:color="auto"/>
          </w:divBdr>
        </w:div>
        <w:div w:id="1128862654">
          <w:marLeft w:val="446"/>
          <w:marRight w:val="0"/>
          <w:marTop w:val="0"/>
          <w:marBottom w:val="0"/>
          <w:divBdr>
            <w:top w:val="none" w:sz="0" w:space="0" w:color="auto"/>
            <w:left w:val="none" w:sz="0" w:space="0" w:color="auto"/>
            <w:bottom w:val="none" w:sz="0" w:space="0" w:color="auto"/>
            <w:right w:val="none" w:sz="0" w:space="0" w:color="auto"/>
          </w:divBdr>
        </w:div>
        <w:div w:id="1650866741">
          <w:marLeft w:val="446"/>
          <w:marRight w:val="0"/>
          <w:marTop w:val="0"/>
          <w:marBottom w:val="0"/>
          <w:divBdr>
            <w:top w:val="none" w:sz="0" w:space="0" w:color="auto"/>
            <w:left w:val="none" w:sz="0" w:space="0" w:color="auto"/>
            <w:bottom w:val="none" w:sz="0" w:space="0" w:color="auto"/>
            <w:right w:val="none" w:sz="0" w:space="0" w:color="auto"/>
          </w:divBdr>
        </w:div>
        <w:div w:id="1973241471">
          <w:marLeft w:val="446"/>
          <w:marRight w:val="0"/>
          <w:marTop w:val="0"/>
          <w:marBottom w:val="0"/>
          <w:divBdr>
            <w:top w:val="none" w:sz="0" w:space="0" w:color="auto"/>
            <w:left w:val="none" w:sz="0" w:space="0" w:color="auto"/>
            <w:bottom w:val="none" w:sz="0" w:space="0" w:color="auto"/>
            <w:right w:val="none" w:sz="0" w:space="0" w:color="auto"/>
          </w:divBdr>
        </w:div>
        <w:div w:id="1634749267">
          <w:marLeft w:val="446"/>
          <w:marRight w:val="0"/>
          <w:marTop w:val="0"/>
          <w:marBottom w:val="0"/>
          <w:divBdr>
            <w:top w:val="none" w:sz="0" w:space="0" w:color="auto"/>
            <w:left w:val="none" w:sz="0" w:space="0" w:color="auto"/>
            <w:bottom w:val="none" w:sz="0" w:space="0" w:color="auto"/>
            <w:right w:val="none" w:sz="0" w:space="0" w:color="auto"/>
          </w:divBdr>
        </w:div>
        <w:div w:id="1991052172">
          <w:marLeft w:val="446"/>
          <w:marRight w:val="0"/>
          <w:marTop w:val="0"/>
          <w:marBottom w:val="0"/>
          <w:divBdr>
            <w:top w:val="none" w:sz="0" w:space="0" w:color="auto"/>
            <w:left w:val="none" w:sz="0" w:space="0" w:color="auto"/>
            <w:bottom w:val="none" w:sz="0" w:space="0" w:color="auto"/>
            <w:right w:val="none" w:sz="0" w:space="0" w:color="auto"/>
          </w:divBdr>
        </w:div>
      </w:divsChild>
    </w:div>
    <w:div w:id="643700467">
      <w:bodyDiv w:val="1"/>
      <w:marLeft w:val="0"/>
      <w:marRight w:val="0"/>
      <w:marTop w:val="0"/>
      <w:marBottom w:val="0"/>
      <w:divBdr>
        <w:top w:val="none" w:sz="0" w:space="0" w:color="auto"/>
        <w:left w:val="none" w:sz="0" w:space="0" w:color="auto"/>
        <w:bottom w:val="none" w:sz="0" w:space="0" w:color="auto"/>
        <w:right w:val="none" w:sz="0" w:space="0" w:color="auto"/>
      </w:divBdr>
      <w:divsChild>
        <w:div w:id="7955068">
          <w:marLeft w:val="446"/>
          <w:marRight w:val="0"/>
          <w:marTop w:val="0"/>
          <w:marBottom w:val="0"/>
          <w:divBdr>
            <w:top w:val="none" w:sz="0" w:space="0" w:color="auto"/>
            <w:left w:val="none" w:sz="0" w:space="0" w:color="auto"/>
            <w:bottom w:val="none" w:sz="0" w:space="0" w:color="auto"/>
            <w:right w:val="none" w:sz="0" w:space="0" w:color="auto"/>
          </w:divBdr>
        </w:div>
        <w:div w:id="1528256070">
          <w:marLeft w:val="446"/>
          <w:marRight w:val="0"/>
          <w:marTop w:val="0"/>
          <w:marBottom w:val="0"/>
          <w:divBdr>
            <w:top w:val="none" w:sz="0" w:space="0" w:color="auto"/>
            <w:left w:val="none" w:sz="0" w:space="0" w:color="auto"/>
            <w:bottom w:val="none" w:sz="0" w:space="0" w:color="auto"/>
            <w:right w:val="none" w:sz="0" w:space="0" w:color="auto"/>
          </w:divBdr>
        </w:div>
        <w:div w:id="349798218">
          <w:marLeft w:val="446"/>
          <w:marRight w:val="0"/>
          <w:marTop w:val="0"/>
          <w:marBottom w:val="0"/>
          <w:divBdr>
            <w:top w:val="none" w:sz="0" w:space="0" w:color="auto"/>
            <w:left w:val="none" w:sz="0" w:space="0" w:color="auto"/>
            <w:bottom w:val="none" w:sz="0" w:space="0" w:color="auto"/>
            <w:right w:val="none" w:sz="0" w:space="0" w:color="auto"/>
          </w:divBdr>
        </w:div>
        <w:div w:id="537084446">
          <w:marLeft w:val="446"/>
          <w:marRight w:val="0"/>
          <w:marTop w:val="0"/>
          <w:marBottom w:val="0"/>
          <w:divBdr>
            <w:top w:val="none" w:sz="0" w:space="0" w:color="auto"/>
            <w:left w:val="none" w:sz="0" w:space="0" w:color="auto"/>
            <w:bottom w:val="none" w:sz="0" w:space="0" w:color="auto"/>
            <w:right w:val="none" w:sz="0" w:space="0" w:color="auto"/>
          </w:divBdr>
        </w:div>
        <w:div w:id="862088190">
          <w:marLeft w:val="446"/>
          <w:marRight w:val="0"/>
          <w:marTop w:val="0"/>
          <w:marBottom w:val="0"/>
          <w:divBdr>
            <w:top w:val="none" w:sz="0" w:space="0" w:color="auto"/>
            <w:left w:val="none" w:sz="0" w:space="0" w:color="auto"/>
            <w:bottom w:val="none" w:sz="0" w:space="0" w:color="auto"/>
            <w:right w:val="none" w:sz="0" w:space="0" w:color="auto"/>
          </w:divBdr>
        </w:div>
        <w:div w:id="1501657176">
          <w:marLeft w:val="446"/>
          <w:marRight w:val="0"/>
          <w:marTop w:val="0"/>
          <w:marBottom w:val="0"/>
          <w:divBdr>
            <w:top w:val="none" w:sz="0" w:space="0" w:color="auto"/>
            <w:left w:val="none" w:sz="0" w:space="0" w:color="auto"/>
            <w:bottom w:val="none" w:sz="0" w:space="0" w:color="auto"/>
            <w:right w:val="none" w:sz="0" w:space="0" w:color="auto"/>
          </w:divBdr>
        </w:div>
        <w:div w:id="70349841">
          <w:marLeft w:val="446"/>
          <w:marRight w:val="0"/>
          <w:marTop w:val="0"/>
          <w:marBottom w:val="0"/>
          <w:divBdr>
            <w:top w:val="none" w:sz="0" w:space="0" w:color="auto"/>
            <w:left w:val="none" w:sz="0" w:space="0" w:color="auto"/>
            <w:bottom w:val="none" w:sz="0" w:space="0" w:color="auto"/>
            <w:right w:val="none" w:sz="0" w:space="0" w:color="auto"/>
          </w:divBdr>
        </w:div>
        <w:div w:id="870190601">
          <w:marLeft w:val="446"/>
          <w:marRight w:val="0"/>
          <w:marTop w:val="0"/>
          <w:marBottom w:val="0"/>
          <w:divBdr>
            <w:top w:val="none" w:sz="0" w:space="0" w:color="auto"/>
            <w:left w:val="none" w:sz="0" w:space="0" w:color="auto"/>
            <w:bottom w:val="none" w:sz="0" w:space="0" w:color="auto"/>
            <w:right w:val="none" w:sz="0" w:space="0" w:color="auto"/>
          </w:divBdr>
        </w:div>
        <w:div w:id="265381395">
          <w:marLeft w:val="446"/>
          <w:marRight w:val="0"/>
          <w:marTop w:val="0"/>
          <w:marBottom w:val="0"/>
          <w:divBdr>
            <w:top w:val="none" w:sz="0" w:space="0" w:color="auto"/>
            <w:left w:val="none" w:sz="0" w:space="0" w:color="auto"/>
            <w:bottom w:val="none" w:sz="0" w:space="0" w:color="auto"/>
            <w:right w:val="none" w:sz="0" w:space="0" w:color="auto"/>
          </w:divBdr>
        </w:div>
        <w:div w:id="1055544235">
          <w:marLeft w:val="446"/>
          <w:marRight w:val="0"/>
          <w:marTop w:val="0"/>
          <w:marBottom w:val="0"/>
          <w:divBdr>
            <w:top w:val="none" w:sz="0" w:space="0" w:color="auto"/>
            <w:left w:val="none" w:sz="0" w:space="0" w:color="auto"/>
            <w:bottom w:val="none" w:sz="0" w:space="0" w:color="auto"/>
            <w:right w:val="none" w:sz="0" w:space="0" w:color="auto"/>
          </w:divBdr>
        </w:div>
        <w:div w:id="2024940632">
          <w:marLeft w:val="446"/>
          <w:marRight w:val="0"/>
          <w:marTop w:val="0"/>
          <w:marBottom w:val="0"/>
          <w:divBdr>
            <w:top w:val="none" w:sz="0" w:space="0" w:color="auto"/>
            <w:left w:val="none" w:sz="0" w:space="0" w:color="auto"/>
            <w:bottom w:val="none" w:sz="0" w:space="0" w:color="auto"/>
            <w:right w:val="none" w:sz="0" w:space="0" w:color="auto"/>
          </w:divBdr>
        </w:div>
        <w:div w:id="328555878">
          <w:marLeft w:val="446"/>
          <w:marRight w:val="0"/>
          <w:marTop w:val="0"/>
          <w:marBottom w:val="0"/>
          <w:divBdr>
            <w:top w:val="none" w:sz="0" w:space="0" w:color="auto"/>
            <w:left w:val="none" w:sz="0" w:space="0" w:color="auto"/>
            <w:bottom w:val="none" w:sz="0" w:space="0" w:color="auto"/>
            <w:right w:val="none" w:sz="0" w:space="0" w:color="auto"/>
          </w:divBdr>
        </w:div>
        <w:div w:id="1157306783">
          <w:marLeft w:val="446"/>
          <w:marRight w:val="0"/>
          <w:marTop w:val="0"/>
          <w:marBottom w:val="0"/>
          <w:divBdr>
            <w:top w:val="none" w:sz="0" w:space="0" w:color="auto"/>
            <w:left w:val="none" w:sz="0" w:space="0" w:color="auto"/>
            <w:bottom w:val="none" w:sz="0" w:space="0" w:color="auto"/>
            <w:right w:val="none" w:sz="0" w:space="0" w:color="auto"/>
          </w:divBdr>
        </w:div>
        <w:div w:id="1116868485">
          <w:marLeft w:val="446"/>
          <w:marRight w:val="0"/>
          <w:marTop w:val="0"/>
          <w:marBottom w:val="0"/>
          <w:divBdr>
            <w:top w:val="none" w:sz="0" w:space="0" w:color="auto"/>
            <w:left w:val="none" w:sz="0" w:space="0" w:color="auto"/>
            <w:bottom w:val="none" w:sz="0" w:space="0" w:color="auto"/>
            <w:right w:val="none" w:sz="0" w:space="0" w:color="auto"/>
          </w:divBdr>
        </w:div>
      </w:divsChild>
    </w:div>
    <w:div w:id="711196908">
      <w:bodyDiv w:val="1"/>
      <w:marLeft w:val="0"/>
      <w:marRight w:val="0"/>
      <w:marTop w:val="0"/>
      <w:marBottom w:val="0"/>
      <w:divBdr>
        <w:top w:val="none" w:sz="0" w:space="0" w:color="auto"/>
        <w:left w:val="none" w:sz="0" w:space="0" w:color="auto"/>
        <w:bottom w:val="none" w:sz="0" w:space="0" w:color="auto"/>
        <w:right w:val="none" w:sz="0" w:space="0" w:color="auto"/>
      </w:divBdr>
      <w:divsChild>
        <w:div w:id="506989651">
          <w:marLeft w:val="446"/>
          <w:marRight w:val="0"/>
          <w:marTop w:val="0"/>
          <w:marBottom w:val="0"/>
          <w:divBdr>
            <w:top w:val="none" w:sz="0" w:space="0" w:color="auto"/>
            <w:left w:val="none" w:sz="0" w:space="0" w:color="auto"/>
            <w:bottom w:val="none" w:sz="0" w:space="0" w:color="auto"/>
            <w:right w:val="none" w:sz="0" w:space="0" w:color="auto"/>
          </w:divBdr>
        </w:div>
        <w:div w:id="131559818">
          <w:marLeft w:val="446"/>
          <w:marRight w:val="0"/>
          <w:marTop w:val="0"/>
          <w:marBottom w:val="0"/>
          <w:divBdr>
            <w:top w:val="none" w:sz="0" w:space="0" w:color="auto"/>
            <w:left w:val="none" w:sz="0" w:space="0" w:color="auto"/>
            <w:bottom w:val="none" w:sz="0" w:space="0" w:color="auto"/>
            <w:right w:val="none" w:sz="0" w:space="0" w:color="auto"/>
          </w:divBdr>
        </w:div>
        <w:div w:id="891236302">
          <w:marLeft w:val="446"/>
          <w:marRight w:val="0"/>
          <w:marTop w:val="0"/>
          <w:marBottom w:val="0"/>
          <w:divBdr>
            <w:top w:val="none" w:sz="0" w:space="0" w:color="auto"/>
            <w:left w:val="none" w:sz="0" w:space="0" w:color="auto"/>
            <w:bottom w:val="none" w:sz="0" w:space="0" w:color="auto"/>
            <w:right w:val="none" w:sz="0" w:space="0" w:color="auto"/>
          </w:divBdr>
        </w:div>
        <w:div w:id="2026397163">
          <w:marLeft w:val="446"/>
          <w:marRight w:val="0"/>
          <w:marTop w:val="0"/>
          <w:marBottom w:val="0"/>
          <w:divBdr>
            <w:top w:val="none" w:sz="0" w:space="0" w:color="auto"/>
            <w:left w:val="none" w:sz="0" w:space="0" w:color="auto"/>
            <w:bottom w:val="none" w:sz="0" w:space="0" w:color="auto"/>
            <w:right w:val="none" w:sz="0" w:space="0" w:color="auto"/>
          </w:divBdr>
        </w:div>
        <w:div w:id="1151360522">
          <w:marLeft w:val="446"/>
          <w:marRight w:val="0"/>
          <w:marTop w:val="0"/>
          <w:marBottom w:val="0"/>
          <w:divBdr>
            <w:top w:val="none" w:sz="0" w:space="0" w:color="auto"/>
            <w:left w:val="none" w:sz="0" w:space="0" w:color="auto"/>
            <w:bottom w:val="none" w:sz="0" w:space="0" w:color="auto"/>
            <w:right w:val="none" w:sz="0" w:space="0" w:color="auto"/>
          </w:divBdr>
        </w:div>
        <w:div w:id="747313526">
          <w:marLeft w:val="446"/>
          <w:marRight w:val="0"/>
          <w:marTop w:val="0"/>
          <w:marBottom w:val="0"/>
          <w:divBdr>
            <w:top w:val="none" w:sz="0" w:space="0" w:color="auto"/>
            <w:left w:val="none" w:sz="0" w:space="0" w:color="auto"/>
            <w:bottom w:val="none" w:sz="0" w:space="0" w:color="auto"/>
            <w:right w:val="none" w:sz="0" w:space="0" w:color="auto"/>
          </w:divBdr>
        </w:div>
        <w:div w:id="176503384">
          <w:marLeft w:val="446"/>
          <w:marRight w:val="0"/>
          <w:marTop w:val="0"/>
          <w:marBottom w:val="0"/>
          <w:divBdr>
            <w:top w:val="none" w:sz="0" w:space="0" w:color="auto"/>
            <w:left w:val="none" w:sz="0" w:space="0" w:color="auto"/>
            <w:bottom w:val="none" w:sz="0" w:space="0" w:color="auto"/>
            <w:right w:val="none" w:sz="0" w:space="0" w:color="auto"/>
          </w:divBdr>
        </w:div>
        <w:div w:id="1014258954">
          <w:marLeft w:val="446"/>
          <w:marRight w:val="0"/>
          <w:marTop w:val="0"/>
          <w:marBottom w:val="0"/>
          <w:divBdr>
            <w:top w:val="none" w:sz="0" w:space="0" w:color="auto"/>
            <w:left w:val="none" w:sz="0" w:space="0" w:color="auto"/>
            <w:bottom w:val="none" w:sz="0" w:space="0" w:color="auto"/>
            <w:right w:val="none" w:sz="0" w:space="0" w:color="auto"/>
          </w:divBdr>
        </w:div>
        <w:div w:id="1243875989">
          <w:marLeft w:val="446"/>
          <w:marRight w:val="0"/>
          <w:marTop w:val="0"/>
          <w:marBottom w:val="0"/>
          <w:divBdr>
            <w:top w:val="none" w:sz="0" w:space="0" w:color="auto"/>
            <w:left w:val="none" w:sz="0" w:space="0" w:color="auto"/>
            <w:bottom w:val="none" w:sz="0" w:space="0" w:color="auto"/>
            <w:right w:val="none" w:sz="0" w:space="0" w:color="auto"/>
          </w:divBdr>
        </w:div>
        <w:div w:id="1549608659">
          <w:marLeft w:val="446"/>
          <w:marRight w:val="0"/>
          <w:marTop w:val="0"/>
          <w:marBottom w:val="0"/>
          <w:divBdr>
            <w:top w:val="none" w:sz="0" w:space="0" w:color="auto"/>
            <w:left w:val="none" w:sz="0" w:space="0" w:color="auto"/>
            <w:bottom w:val="none" w:sz="0" w:space="0" w:color="auto"/>
            <w:right w:val="none" w:sz="0" w:space="0" w:color="auto"/>
          </w:divBdr>
        </w:div>
        <w:div w:id="1409309593">
          <w:marLeft w:val="446"/>
          <w:marRight w:val="0"/>
          <w:marTop w:val="0"/>
          <w:marBottom w:val="0"/>
          <w:divBdr>
            <w:top w:val="none" w:sz="0" w:space="0" w:color="auto"/>
            <w:left w:val="none" w:sz="0" w:space="0" w:color="auto"/>
            <w:bottom w:val="none" w:sz="0" w:space="0" w:color="auto"/>
            <w:right w:val="none" w:sz="0" w:space="0" w:color="auto"/>
          </w:divBdr>
        </w:div>
        <w:div w:id="1712803700">
          <w:marLeft w:val="446"/>
          <w:marRight w:val="0"/>
          <w:marTop w:val="0"/>
          <w:marBottom w:val="0"/>
          <w:divBdr>
            <w:top w:val="none" w:sz="0" w:space="0" w:color="auto"/>
            <w:left w:val="none" w:sz="0" w:space="0" w:color="auto"/>
            <w:bottom w:val="none" w:sz="0" w:space="0" w:color="auto"/>
            <w:right w:val="none" w:sz="0" w:space="0" w:color="auto"/>
          </w:divBdr>
        </w:div>
        <w:div w:id="1083650581">
          <w:marLeft w:val="446"/>
          <w:marRight w:val="0"/>
          <w:marTop w:val="0"/>
          <w:marBottom w:val="0"/>
          <w:divBdr>
            <w:top w:val="none" w:sz="0" w:space="0" w:color="auto"/>
            <w:left w:val="none" w:sz="0" w:space="0" w:color="auto"/>
            <w:bottom w:val="none" w:sz="0" w:space="0" w:color="auto"/>
            <w:right w:val="none" w:sz="0" w:space="0" w:color="auto"/>
          </w:divBdr>
        </w:div>
        <w:div w:id="974603687">
          <w:marLeft w:val="446"/>
          <w:marRight w:val="0"/>
          <w:marTop w:val="0"/>
          <w:marBottom w:val="0"/>
          <w:divBdr>
            <w:top w:val="none" w:sz="0" w:space="0" w:color="auto"/>
            <w:left w:val="none" w:sz="0" w:space="0" w:color="auto"/>
            <w:bottom w:val="none" w:sz="0" w:space="0" w:color="auto"/>
            <w:right w:val="none" w:sz="0" w:space="0" w:color="auto"/>
          </w:divBdr>
        </w:div>
      </w:divsChild>
    </w:div>
    <w:div w:id="791901861">
      <w:bodyDiv w:val="1"/>
      <w:marLeft w:val="0"/>
      <w:marRight w:val="0"/>
      <w:marTop w:val="0"/>
      <w:marBottom w:val="0"/>
      <w:divBdr>
        <w:top w:val="none" w:sz="0" w:space="0" w:color="auto"/>
        <w:left w:val="none" w:sz="0" w:space="0" w:color="auto"/>
        <w:bottom w:val="none" w:sz="0" w:space="0" w:color="auto"/>
        <w:right w:val="none" w:sz="0" w:space="0" w:color="auto"/>
      </w:divBdr>
    </w:div>
    <w:div w:id="917716798">
      <w:bodyDiv w:val="1"/>
      <w:marLeft w:val="0"/>
      <w:marRight w:val="0"/>
      <w:marTop w:val="0"/>
      <w:marBottom w:val="0"/>
      <w:divBdr>
        <w:top w:val="none" w:sz="0" w:space="0" w:color="auto"/>
        <w:left w:val="none" w:sz="0" w:space="0" w:color="auto"/>
        <w:bottom w:val="none" w:sz="0" w:space="0" w:color="auto"/>
        <w:right w:val="none" w:sz="0" w:space="0" w:color="auto"/>
      </w:divBdr>
    </w:div>
    <w:div w:id="1040663400">
      <w:bodyDiv w:val="1"/>
      <w:marLeft w:val="0"/>
      <w:marRight w:val="0"/>
      <w:marTop w:val="0"/>
      <w:marBottom w:val="0"/>
      <w:divBdr>
        <w:top w:val="none" w:sz="0" w:space="0" w:color="auto"/>
        <w:left w:val="none" w:sz="0" w:space="0" w:color="auto"/>
        <w:bottom w:val="none" w:sz="0" w:space="0" w:color="auto"/>
        <w:right w:val="none" w:sz="0" w:space="0" w:color="auto"/>
      </w:divBdr>
    </w:div>
    <w:div w:id="1152404922">
      <w:bodyDiv w:val="1"/>
      <w:marLeft w:val="0"/>
      <w:marRight w:val="0"/>
      <w:marTop w:val="0"/>
      <w:marBottom w:val="0"/>
      <w:divBdr>
        <w:top w:val="none" w:sz="0" w:space="0" w:color="auto"/>
        <w:left w:val="none" w:sz="0" w:space="0" w:color="auto"/>
        <w:bottom w:val="none" w:sz="0" w:space="0" w:color="auto"/>
        <w:right w:val="none" w:sz="0" w:space="0" w:color="auto"/>
      </w:divBdr>
    </w:div>
    <w:div w:id="1168252911">
      <w:bodyDiv w:val="1"/>
      <w:marLeft w:val="0"/>
      <w:marRight w:val="0"/>
      <w:marTop w:val="0"/>
      <w:marBottom w:val="0"/>
      <w:divBdr>
        <w:top w:val="none" w:sz="0" w:space="0" w:color="auto"/>
        <w:left w:val="none" w:sz="0" w:space="0" w:color="auto"/>
        <w:bottom w:val="none" w:sz="0" w:space="0" w:color="auto"/>
        <w:right w:val="none" w:sz="0" w:space="0" w:color="auto"/>
      </w:divBdr>
    </w:div>
    <w:div w:id="1199198846">
      <w:marLeft w:val="0"/>
      <w:marRight w:val="0"/>
      <w:marTop w:val="0"/>
      <w:marBottom w:val="0"/>
      <w:divBdr>
        <w:top w:val="none" w:sz="0" w:space="0" w:color="auto"/>
        <w:left w:val="none" w:sz="0" w:space="0" w:color="auto"/>
        <w:bottom w:val="none" w:sz="0" w:space="0" w:color="auto"/>
        <w:right w:val="none" w:sz="0" w:space="0" w:color="auto"/>
      </w:divBdr>
    </w:div>
    <w:div w:id="1199198850">
      <w:marLeft w:val="0"/>
      <w:marRight w:val="0"/>
      <w:marTop w:val="0"/>
      <w:marBottom w:val="0"/>
      <w:divBdr>
        <w:top w:val="none" w:sz="0" w:space="0" w:color="auto"/>
        <w:left w:val="none" w:sz="0" w:space="0" w:color="auto"/>
        <w:bottom w:val="none" w:sz="0" w:space="0" w:color="auto"/>
        <w:right w:val="none" w:sz="0" w:space="0" w:color="auto"/>
      </w:divBdr>
    </w:div>
    <w:div w:id="1199198851">
      <w:marLeft w:val="0"/>
      <w:marRight w:val="0"/>
      <w:marTop w:val="0"/>
      <w:marBottom w:val="0"/>
      <w:divBdr>
        <w:top w:val="none" w:sz="0" w:space="0" w:color="auto"/>
        <w:left w:val="none" w:sz="0" w:space="0" w:color="auto"/>
        <w:bottom w:val="none" w:sz="0" w:space="0" w:color="auto"/>
        <w:right w:val="none" w:sz="0" w:space="0" w:color="auto"/>
      </w:divBdr>
    </w:div>
    <w:div w:id="1199198852">
      <w:marLeft w:val="0"/>
      <w:marRight w:val="0"/>
      <w:marTop w:val="0"/>
      <w:marBottom w:val="0"/>
      <w:divBdr>
        <w:top w:val="none" w:sz="0" w:space="0" w:color="auto"/>
        <w:left w:val="none" w:sz="0" w:space="0" w:color="auto"/>
        <w:bottom w:val="none" w:sz="0" w:space="0" w:color="auto"/>
        <w:right w:val="none" w:sz="0" w:space="0" w:color="auto"/>
      </w:divBdr>
      <w:divsChild>
        <w:div w:id="1199198874">
          <w:marLeft w:val="547"/>
          <w:marRight w:val="0"/>
          <w:marTop w:val="0"/>
          <w:marBottom w:val="0"/>
          <w:divBdr>
            <w:top w:val="none" w:sz="0" w:space="0" w:color="auto"/>
            <w:left w:val="none" w:sz="0" w:space="0" w:color="auto"/>
            <w:bottom w:val="none" w:sz="0" w:space="0" w:color="auto"/>
            <w:right w:val="none" w:sz="0" w:space="0" w:color="auto"/>
          </w:divBdr>
        </w:div>
      </w:divsChild>
    </w:div>
    <w:div w:id="1199198853">
      <w:marLeft w:val="0"/>
      <w:marRight w:val="0"/>
      <w:marTop w:val="0"/>
      <w:marBottom w:val="0"/>
      <w:divBdr>
        <w:top w:val="none" w:sz="0" w:space="0" w:color="auto"/>
        <w:left w:val="none" w:sz="0" w:space="0" w:color="auto"/>
        <w:bottom w:val="none" w:sz="0" w:space="0" w:color="auto"/>
        <w:right w:val="none" w:sz="0" w:space="0" w:color="auto"/>
      </w:divBdr>
      <w:divsChild>
        <w:div w:id="1199198861">
          <w:marLeft w:val="547"/>
          <w:marRight w:val="0"/>
          <w:marTop w:val="0"/>
          <w:marBottom w:val="0"/>
          <w:divBdr>
            <w:top w:val="none" w:sz="0" w:space="0" w:color="auto"/>
            <w:left w:val="none" w:sz="0" w:space="0" w:color="auto"/>
            <w:bottom w:val="none" w:sz="0" w:space="0" w:color="auto"/>
            <w:right w:val="none" w:sz="0" w:space="0" w:color="auto"/>
          </w:divBdr>
        </w:div>
      </w:divsChild>
    </w:div>
    <w:div w:id="1199198856">
      <w:marLeft w:val="0"/>
      <w:marRight w:val="0"/>
      <w:marTop w:val="0"/>
      <w:marBottom w:val="0"/>
      <w:divBdr>
        <w:top w:val="none" w:sz="0" w:space="0" w:color="auto"/>
        <w:left w:val="none" w:sz="0" w:space="0" w:color="auto"/>
        <w:bottom w:val="none" w:sz="0" w:space="0" w:color="auto"/>
        <w:right w:val="none" w:sz="0" w:space="0" w:color="auto"/>
      </w:divBdr>
      <w:divsChild>
        <w:div w:id="1199198860">
          <w:marLeft w:val="547"/>
          <w:marRight w:val="0"/>
          <w:marTop w:val="0"/>
          <w:marBottom w:val="0"/>
          <w:divBdr>
            <w:top w:val="none" w:sz="0" w:space="0" w:color="auto"/>
            <w:left w:val="none" w:sz="0" w:space="0" w:color="auto"/>
            <w:bottom w:val="none" w:sz="0" w:space="0" w:color="auto"/>
            <w:right w:val="none" w:sz="0" w:space="0" w:color="auto"/>
          </w:divBdr>
        </w:div>
      </w:divsChild>
    </w:div>
    <w:div w:id="1199198857">
      <w:marLeft w:val="0"/>
      <w:marRight w:val="0"/>
      <w:marTop w:val="0"/>
      <w:marBottom w:val="0"/>
      <w:divBdr>
        <w:top w:val="none" w:sz="0" w:space="0" w:color="auto"/>
        <w:left w:val="none" w:sz="0" w:space="0" w:color="auto"/>
        <w:bottom w:val="none" w:sz="0" w:space="0" w:color="auto"/>
        <w:right w:val="none" w:sz="0" w:space="0" w:color="auto"/>
      </w:divBdr>
      <w:divsChild>
        <w:div w:id="1199198855">
          <w:marLeft w:val="547"/>
          <w:marRight w:val="0"/>
          <w:marTop w:val="0"/>
          <w:marBottom w:val="0"/>
          <w:divBdr>
            <w:top w:val="none" w:sz="0" w:space="0" w:color="auto"/>
            <w:left w:val="none" w:sz="0" w:space="0" w:color="auto"/>
            <w:bottom w:val="none" w:sz="0" w:space="0" w:color="auto"/>
            <w:right w:val="none" w:sz="0" w:space="0" w:color="auto"/>
          </w:divBdr>
        </w:div>
      </w:divsChild>
    </w:div>
    <w:div w:id="1199198859">
      <w:marLeft w:val="0"/>
      <w:marRight w:val="0"/>
      <w:marTop w:val="0"/>
      <w:marBottom w:val="0"/>
      <w:divBdr>
        <w:top w:val="none" w:sz="0" w:space="0" w:color="auto"/>
        <w:left w:val="none" w:sz="0" w:space="0" w:color="auto"/>
        <w:bottom w:val="none" w:sz="0" w:space="0" w:color="auto"/>
        <w:right w:val="none" w:sz="0" w:space="0" w:color="auto"/>
      </w:divBdr>
      <w:divsChild>
        <w:div w:id="1199198863">
          <w:marLeft w:val="547"/>
          <w:marRight w:val="0"/>
          <w:marTop w:val="0"/>
          <w:marBottom w:val="0"/>
          <w:divBdr>
            <w:top w:val="none" w:sz="0" w:space="0" w:color="auto"/>
            <w:left w:val="none" w:sz="0" w:space="0" w:color="auto"/>
            <w:bottom w:val="none" w:sz="0" w:space="0" w:color="auto"/>
            <w:right w:val="none" w:sz="0" w:space="0" w:color="auto"/>
          </w:divBdr>
        </w:div>
      </w:divsChild>
    </w:div>
    <w:div w:id="1199198862">
      <w:marLeft w:val="0"/>
      <w:marRight w:val="0"/>
      <w:marTop w:val="0"/>
      <w:marBottom w:val="0"/>
      <w:divBdr>
        <w:top w:val="none" w:sz="0" w:space="0" w:color="auto"/>
        <w:left w:val="none" w:sz="0" w:space="0" w:color="auto"/>
        <w:bottom w:val="none" w:sz="0" w:space="0" w:color="auto"/>
        <w:right w:val="none" w:sz="0" w:space="0" w:color="auto"/>
      </w:divBdr>
    </w:div>
    <w:div w:id="1199198865">
      <w:marLeft w:val="0"/>
      <w:marRight w:val="0"/>
      <w:marTop w:val="0"/>
      <w:marBottom w:val="0"/>
      <w:divBdr>
        <w:top w:val="none" w:sz="0" w:space="0" w:color="auto"/>
        <w:left w:val="none" w:sz="0" w:space="0" w:color="auto"/>
        <w:bottom w:val="none" w:sz="0" w:space="0" w:color="auto"/>
        <w:right w:val="none" w:sz="0" w:space="0" w:color="auto"/>
      </w:divBdr>
    </w:div>
    <w:div w:id="1199198867">
      <w:marLeft w:val="0"/>
      <w:marRight w:val="0"/>
      <w:marTop w:val="0"/>
      <w:marBottom w:val="0"/>
      <w:divBdr>
        <w:top w:val="none" w:sz="0" w:space="0" w:color="auto"/>
        <w:left w:val="none" w:sz="0" w:space="0" w:color="auto"/>
        <w:bottom w:val="none" w:sz="0" w:space="0" w:color="auto"/>
        <w:right w:val="none" w:sz="0" w:space="0" w:color="auto"/>
      </w:divBdr>
    </w:div>
    <w:div w:id="1199198868">
      <w:marLeft w:val="0"/>
      <w:marRight w:val="0"/>
      <w:marTop w:val="0"/>
      <w:marBottom w:val="0"/>
      <w:divBdr>
        <w:top w:val="none" w:sz="0" w:space="0" w:color="auto"/>
        <w:left w:val="none" w:sz="0" w:space="0" w:color="auto"/>
        <w:bottom w:val="none" w:sz="0" w:space="0" w:color="auto"/>
        <w:right w:val="none" w:sz="0" w:space="0" w:color="auto"/>
      </w:divBdr>
    </w:div>
    <w:div w:id="1199198869">
      <w:marLeft w:val="0"/>
      <w:marRight w:val="0"/>
      <w:marTop w:val="0"/>
      <w:marBottom w:val="0"/>
      <w:divBdr>
        <w:top w:val="none" w:sz="0" w:space="0" w:color="auto"/>
        <w:left w:val="none" w:sz="0" w:space="0" w:color="auto"/>
        <w:bottom w:val="none" w:sz="0" w:space="0" w:color="auto"/>
        <w:right w:val="none" w:sz="0" w:space="0" w:color="auto"/>
      </w:divBdr>
    </w:div>
    <w:div w:id="1199198870">
      <w:marLeft w:val="0"/>
      <w:marRight w:val="0"/>
      <w:marTop w:val="0"/>
      <w:marBottom w:val="0"/>
      <w:divBdr>
        <w:top w:val="none" w:sz="0" w:space="0" w:color="auto"/>
        <w:left w:val="none" w:sz="0" w:space="0" w:color="auto"/>
        <w:bottom w:val="none" w:sz="0" w:space="0" w:color="auto"/>
        <w:right w:val="none" w:sz="0" w:space="0" w:color="auto"/>
      </w:divBdr>
    </w:div>
    <w:div w:id="1199198871">
      <w:marLeft w:val="0"/>
      <w:marRight w:val="0"/>
      <w:marTop w:val="0"/>
      <w:marBottom w:val="0"/>
      <w:divBdr>
        <w:top w:val="none" w:sz="0" w:space="0" w:color="auto"/>
        <w:left w:val="none" w:sz="0" w:space="0" w:color="auto"/>
        <w:bottom w:val="none" w:sz="0" w:space="0" w:color="auto"/>
        <w:right w:val="none" w:sz="0" w:space="0" w:color="auto"/>
      </w:divBdr>
    </w:div>
    <w:div w:id="1199198872">
      <w:marLeft w:val="0"/>
      <w:marRight w:val="0"/>
      <w:marTop w:val="0"/>
      <w:marBottom w:val="0"/>
      <w:divBdr>
        <w:top w:val="none" w:sz="0" w:space="0" w:color="auto"/>
        <w:left w:val="none" w:sz="0" w:space="0" w:color="auto"/>
        <w:bottom w:val="none" w:sz="0" w:space="0" w:color="auto"/>
        <w:right w:val="none" w:sz="0" w:space="0" w:color="auto"/>
      </w:divBdr>
      <w:divsChild>
        <w:div w:id="1199198849">
          <w:marLeft w:val="547"/>
          <w:marRight w:val="0"/>
          <w:marTop w:val="0"/>
          <w:marBottom w:val="0"/>
          <w:divBdr>
            <w:top w:val="none" w:sz="0" w:space="0" w:color="auto"/>
            <w:left w:val="none" w:sz="0" w:space="0" w:color="auto"/>
            <w:bottom w:val="none" w:sz="0" w:space="0" w:color="auto"/>
            <w:right w:val="none" w:sz="0" w:space="0" w:color="auto"/>
          </w:divBdr>
        </w:div>
      </w:divsChild>
    </w:div>
    <w:div w:id="1199198873">
      <w:marLeft w:val="0"/>
      <w:marRight w:val="0"/>
      <w:marTop w:val="0"/>
      <w:marBottom w:val="0"/>
      <w:divBdr>
        <w:top w:val="none" w:sz="0" w:space="0" w:color="auto"/>
        <w:left w:val="none" w:sz="0" w:space="0" w:color="auto"/>
        <w:bottom w:val="none" w:sz="0" w:space="0" w:color="auto"/>
        <w:right w:val="none" w:sz="0" w:space="0" w:color="auto"/>
      </w:divBdr>
      <w:divsChild>
        <w:div w:id="1199198847">
          <w:marLeft w:val="0"/>
          <w:marRight w:val="0"/>
          <w:marTop w:val="0"/>
          <w:marBottom w:val="0"/>
          <w:divBdr>
            <w:top w:val="none" w:sz="0" w:space="0" w:color="auto"/>
            <w:left w:val="none" w:sz="0" w:space="0" w:color="auto"/>
            <w:bottom w:val="none" w:sz="0" w:space="0" w:color="auto"/>
            <w:right w:val="none" w:sz="0" w:space="0" w:color="auto"/>
          </w:divBdr>
        </w:div>
        <w:div w:id="1199198848">
          <w:marLeft w:val="0"/>
          <w:marRight w:val="0"/>
          <w:marTop w:val="0"/>
          <w:marBottom w:val="0"/>
          <w:divBdr>
            <w:top w:val="none" w:sz="0" w:space="0" w:color="auto"/>
            <w:left w:val="none" w:sz="0" w:space="0" w:color="auto"/>
            <w:bottom w:val="none" w:sz="0" w:space="0" w:color="auto"/>
            <w:right w:val="none" w:sz="0" w:space="0" w:color="auto"/>
          </w:divBdr>
        </w:div>
        <w:div w:id="1199198854">
          <w:marLeft w:val="0"/>
          <w:marRight w:val="0"/>
          <w:marTop w:val="0"/>
          <w:marBottom w:val="0"/>
          <w:divBdr>
            <w:top w:val="none" w:sz="0" w:space="0" w:color="auto"/>
            <w:left w:val="none" w:sz="0" w:space="0" w:color="auto"/>
            <w:bottom w:val="none" w:sz="0" w:space="0" w:color="auto"/>
            <w:right w:val="none" w:sz="0" w:space="0" w:color="auto"/>
          </w:divBdr>
        </w:div>
        <w:div w:id="1199198858">
          <w:marLeft w:val="0"/>
          <w:marRight w:val="0"/>
          <w:marTop w:val="0"/>
          <w:marBottom w:val="0"/>
          <w:divBdr>
            <w:top w:val="none" w:sz="0" w:space="0" w:color="auto"/>
            <w:left w:val="none" w:sz="0" w:space="0" w:color="auto"/>
            <w:bottom w:val="none" w:sz="0" w:space="0" w:color="auto"/>
            <w:right w:val="none" w:sz="0" w:space="0" w:color="auto"/>
          </w:divBdr>
        </w:div>
        <w:div w:id="1199198864">
          <w:marLeft w:val="0"/>
          <w:marRight w:val="0"/>
          <w:marTop w:val="0"/>
          <w:marBottom w:val="0"/>
          <w:divBdr>
            <w:top w:val="none" w:sz="0" w:space="0" w:color="auto"/>
            <w:left w:val="none" w:sz="0" w:space="0" w:color="auto"/>
            <w:bottom w:val="none" w:sz="0" w:space="0" w:color="auto"/>
            <w:right w:val="none" w:sz="0" w:space="0" w:color="auto"/>
          </w:divBdr>
        </w:div>
      </w:divsChild>
    </w:div>
    <w:div w:id="1199198875">
      <w:marLeft w:val="0"/>
      <w:marRight w:val="0"/>
      <w:marTop w:val="0"/>
      <w:marBottom w:val="0"/>
      <w:divBdr>
        <w:top w:val="none" w:sz="0" w:space="0" w:color="auto"/>
        <w:left w:val="none" w:sz="0" w:space="0" w:color="auto"/>
        <w:bottom w:val="none" w:sz="0" w:space="0" w:color="auto"/>
        <w:right w:val="none" w:sz="0" w:space="0" w:color="auto"/>
      </w:divBdr>
      <w:divsChild>
        <w:div w:id="1199198866">
          <w:marLeft w:val="547"/>
          <w:marRight w:val="0"/>
          <w:marTop w:val="0"/>
          <w:marBottom w:val="0"/>
          <w:divBdr>
            <w:top w:val="none" w:sz="0" w:space="0" w:color="auto"/>
            <w:left w:val="none" w:sz="0" w:space="0" w:color="auto"/>
            <w:bottom w:val="none" w:sz="0" w:space="0" w:color="auto"/>
            <w:right w:val="none" w:sz="0" w:space="0" w:color="auto"/>
          </w:divBdr>
        </w:div>
      </w:divsChild>
    </w:div>
    <w:div w:id="1220555090">
      <w:bodyDiv w:val="1"/>
      <w:marLeft w:val="0"/>
      <w:marRight w:val="0"/>
      <w:marTop w:val="0"/>
      <w:marBottom w:val="0"/>
      <w:divBdr>
        <w:top w:val="none" w:sz="0" w:space="0" w:color="auto"/>
        <w:left w:val="none" w:sz="0" w:space="0" w:color="auto"/>
        <w:bottom w:val="none" w:sz="0" w:space="0" w:color="auto"/>
        <w:right w:val="none" w:sz="0" w:space="0" w:color="auto"/>
      </w:divBdr>
      <w:divsChild>
        <w:div w:id="1262908911">
          <w:marLeft w:val="0"/>
          <w:marRight w:val="0"/>
          <w:marTop w:val="0"/>
          <w:marBottom w:val="0"/>
          <w:divBdr>
            <w:top w:val="none" w:sz="0" w:space="0" w:color="auto"/>
            <w:left w:val="none" w:sz="0" w:space="0" w:color="auto"/>
            <w:bottom w:val="none" w:sz="0" w:space="0" w:color="auto"/>
            <w:right w:val="none" w:sz="0" w:space="0" w:color="auto"/>
          </w:divBdr>
          <w:divsChild>
            <w:div w:id="979309424">
              <w:marLeft w:val="0"/>
              <w:marRight w:val="0"/>
              <w:marTop w:val="0"/>
              <w:marBottom w:val="0"/>
              <w:divBdr>
                <w:top w:val="none" w:sz="0" w:space="0" w:color="auto"/>
                <w:left w:val="none" w:sz="0" w:space="0" w:color="auto"/>
                <w:bottom w:val="none" w:sz="0" w:space="0" w:color="auto"/>
                <w:right w:val="none" w:sz="0" w:space="0" w:color="auto"/>
              </w:divBdr>
              <w:divsChild>
                <w:div w:id="6726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4485">
          <w:marLeft w:val="0"/>
          <w:marRight w:val="0"/>
          <w:marTop w:val="0"/>
          <w:marBottom w:val="0"/>
          <w:divBdr>
            <w:top w:val="none" w:sz="0" w:space="0" w:color="auto"/>
            <w:left w:val="none" w:sz="0" w:space="0" w:color="auto"/>
            <w:bottom w:val="none" w:sz="0" w:space="0" w:color="auto"/>
            <w:right w:val="none" w:sz="0" w:space="0" w:color="auto"/>
          </w:divBdr>
          <w:divsChild>
            <w:div w:id="1571430200">
              <w:marLeft w:val="0"/>
              <w:marRight w:val="0"/>
              <w:marTop w:val="0"/>
              <w:marBottom w:val="0"/>
              <w:divBdr>
                <w:top w:val="none" w:sz="0" w:space="0" w:color="auto"/>
                <w:left w:val="none" w:sz="0" w:space="0" w:color="auto"/>
                <w:bottom w:val="none" w:sz="0" w:space="0" w:color="auto"/>
                <w:right w:val="none" w:sz="0" w:space="0" w:color="auto"/>
              </w:divBdr>
              <w:divsChild>
                <w:div w:id="1683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2163">
      <w:bodyDiv w:val="1"/>
      <w:marLeft w:val="0"/>
      <w:marRight w:val="0"/>
      <w:marTop w:val="0"/>
      <w:marBottom w:val="0"/>
      <w:divBdr>
        <w:top w:val="none" w:sz="0" w:space="0" w:color="auto"/>
        <w:left w:val="none" w:sz="0" w:space="0" w:color="auto"/>
        <w:bottom w:val="none" w:sz="0" w:space="0" w:color="auto"/>
        <w:right w:val="none" w:sz="0" w:space="0" w:color="auto"/>
      </w:divBdr>
      <w:divsChild>
        <w:div w:id="1156383373">
          <w:marLeft w:val="547"/>
          <w:marRight w:val="0"/>
          <w:marTop w:val="0"/>
          <w:marBottom w:val="0"/>
          <w:divBdr>
            <w:top w:val="none" w:sz="0" w:space="0" w:color="auto"/>
            <w:left w:val="none" w:sz="0" w:space="0" w:color="auto"/>
            <w:bottom w:val="none" w:sz="0" w:space="0" w:color="auto"/>
            <w:right w:val="none" w:sz="0" w:space="0" w:color="auto"/>
          </w:divBdr>
        </w:div>
      </w:divsChild>
    </w:div>
    <w:div w:id="1502701679">
      <w:bodyDiv w:val="1"/>
      <w:marLeft w:val="0"/>
      <w:marRight w:val="0"/>
      <w:marTop w:val="0"/>
      <w:marBottom w:val="0"/>
      <w:divBdr>
        <w:top w:val="none" w:sz="0" w:space="0" w:color="auto"/>
        <w:left w:val="none" w:sz="0" w:space="0" w:color="auto"/>
        <w:bottom w:val="none" w:sz="0" w:space="0" w:color="auto"/>
        <w:right w:val="none" w:sz="0" w:space="0" w:color="auto"/>
      </w:divBdr>
    </w:div>
    <w:div w:id="1700735152">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 w:id="1736472894">
      <w:bodyDiv w:val="1"/>
      <w:marLeft w:val="0"/>
      <w:marRight w:val="0"/>
      <w:marTop w:val="0"/>
      <w:marBottom w:val="0"/>
      <w:divBdr>
        <w:top w:val="none" w:sz="0" w:space="0" w:color="auto"/>
        <w:left w:val="none" w:sz="0" w:space="0" w:color="auto"/>
        <w:bottom w:val="none" w:sz="0" w:space="0" w:color="auto"/>
        <w:right w:val="none" w:sz="0" w:space="0" w:color="auto"/>
      </w:divBdr>
    </w:div>
    <w:div w:id="1749306510">
      <w:bodyDiv w:val="1"/>
      <w:marLeft w:val="0"/>
      <w:marRight w:val="0"/>
      <w:marTop w:val="0"/>
      <w:marBottom w:val="0"/>
      <w:divBdr>
        <w:top w:val="none" w:sz="0" w:space="0" w:color="auto"/>
        <w:left w:val="none" w:sz="0" w:space="0" w:color="auto"/>
        <w:bottom w:val="none" w:sz="0" w:space="0" w:color="auto"/>
        <w:right w:val="none" w:sz="0" w:space="0" w:color="auto"/>
      </w:divBdr>
      <w:divsChild>
        <w:div w:id="1238246071">
          <w:marLeft w:val="446"/>
          <w:marRight w:val="0"/>
          <w:marTop w:val="0"/>
          <w:marBottom w:val="0"/>
          <w:divBdr>
            <w:top w:val="none" w:sz="0" w:space="0" w:color="auto"/>
            <w:left w:val="none" w:sz="0" w:space="0" w:color="auto"/>
            <w:bottom w:val="none" w:sz="0" w:space="0" w:color="auto"/>
            <w:right w:val="none" w:sz="0" w:space="0" w:color="auto"/>
          </w:divBdr>
        </w:div>
      </w:divsChild>
    </w:div>
    <w:div w:id="1895578156">
      <w:bodyDiv w:val="1"/>
      <w:marLeft w:val="0"/>
      <w:marRight w:val="0"/>
      <w:marTop w:val="0"/>
      <w:marBottom w:val="0"/>
      <w:divBdr>
        <w:top w:val="none" w:sz="0" w:space="0" w:color="auto"/>
        <w:left w:val="none" w:sz="0" w:space="0" w:color="auto"/>
        <w:bottom w:val="none" w:sz="0" w:space="0" w:color="auto"/>
        <w:right w:val="none" w:sz="0" w:space="0" w:color="auto"/>
      </w:divBdr>
      <w:divsChild>
        <w:div w:id="1779331536">
          <w:marLeft w:val="547"/>
          <w:marRight w:val="0"/>
          <w:marTop w:val="0"/>
          <w:marBottom w:val="0"/>
          <w:divBdr>
            <w:top w:val="none" w:sz="0" w:space="0" w:color="auto"/>
            <w:left w:val="none" w:sz="0" w:space="0" w:color="auto"/>
            <w:bottom w:val="none" w:sz="0" w:space="0" w:color="auto"/>
            <w:right w:val="none" w:sz="0" w:space="0" w:color="auto"/>
          </w:divBdr>
        </w:div>
      </w:divsChild>
    </w:div>
    <w:div w:id="1947342291">
      <w:bodyDiv w:val="1"/>
      <w:marLeft w:val="0"/>
      <w:marRight w:val="0"/>
      <w:marTop w:val="0"/>
      <w:marBottom w:val="0"/>
      <w:divBdr>
        <w:top w:val="none" w:sz="0" w:space="0" w:color="auto"/>
        <w:left w:val="none" w:sz="0" w:space="0" w:color="auto"/>
        <w:bottom w:val="none" w:sz="0" w:space="0" w:color="auto"/>
        <w:right w:val="none" w:sz="0" w:space="0" w:color="auto"/>
      </w:divBdr>
    </w:div>
    <w:div w:id="1977178962">
      <w:bodyDiv w:val="1"/>
      <w:marLeft w:val="0"/>
      <w:marRight w:val="0"/>
      <w:marTop w:val="0"/>
      <w:marBottom w:val="0"/>
      <w:divBdr>
        <w:top w:val="none" w:sz="0" w:space="0" w:color="auto"/>
        <w:left w:val="none" w:sz="0" w:space="0" w:color="auto"/>
        <w:bottom w:val="none" w:sz="0" w:space="0" w:color="auto"/>
        <w:right w:val="none" w:sz="0" w:space="0" w:color="auto"/>
      </w:divBdr>
    </w:div>
    <w:div w:id="2019304858">
      <w:bodyDiv w:val="1"/>
      <w:marLeft w:val="0"/>
      <w:marRight w:val="0"/>
      <w:marTop w:val="0"/>
      <w:marBottom w:val="0"/>
      <w:divBdr>
        <w:top w:val="none" w:sz="0" w:space="0" w:color="auto"/>
        <w:left w:val="none" w:sz="0" w:space="0" w:color="auto"/>
        <w:bottom w:val="none" w:sz="0" w:space="0" w:color="auto"/>
        <w:right w:val="none" w:sz="0" w:space="0" w:color="auto"/>
      </w:divBdr>
    </w:div>
    <w:div w:id="2087192347">
      <w:bodyDiv w:val="1"/>
      <w:marLeft w:val="0"/>
      <w:marRight w:val="0"/>
      <w:marTop w:val="0"/>
      <w:marBottom w:val="0"/>
      <w:divBdr>
        <w:top w:val="none" w:sz="0" w:space="0" w:color="auto"/>
        <w:left w:val="none" w:sz="0" w:space="0" w:color="auto"/>
        <w:bottom w:val="none" w:sz="0" w:space="0" w:color="auto"/>
        <w:right w:val="none" w:sz="0" w:space="0" w:color="auto"/>
      </w:divBdr>
      <w:divsChild>
        <w:div w:id="1335454190">
          <w:marLeft w:val="547"/>
          <w:marRight w:val="0"/>
          <w:marTop w:val="0"/>
          <w:marBottom w:val="0"/>
          <w:divBdr>
            <w:top w:val="none" w:sz="0" w:space="0" w:color="auto"/>
            <w:left w:val="none" w:sz="0" w:space="0" w:color="auto"/>
            <w:bottom w:val="none" w:sz="0" w:space="0" w:color="auto"/>
            <w:right w:val="none" w:sz="0" w:space="0" w:color="auto"/>
          </w:divBdr>
        </w:div>
      </w:divsChild>
    </w:div>
    <w:div w:id="20980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5.png"/><Relationship Id="rId26" Type="http://schemas.openxmlformats.org/officeDocument/2006/relationships/diagramLayout" Target="diagrams/layout3.xml"/><Relationship Id="rId39" Type="http://schemas.openxmlformats.org/officeDocument/2006/relationships/image" Target="media/image7.png"/><Relationship Id="rId21" Type="http://schemas.openxmlformats.org/officeDocument/2006/relationships/diagramLayout" Target="diagrams/layout2.xml"/><Relationship Id="rId42" Type="http://schemas.openxmlformats.org/officeDocument/2006/relationships/diagramQuickStyle" Target="diagrams/quickStyle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microsoft.com/office/2007/relationships/diagramDrawing" Target="diagrams/drawing2.xml"/><Relationship Id="rId37" Type="http://schemas.openxmlformats.org/officeDocument/2006/relationships/image" Target="media/image70.png"/><Relationship Id="rId40" Type="http://schemas.openxmlformats.org/officeDocument/2006/relationships/diagramData" Target="diagrams/data4.xml"/><Relationship Id="rId45" Type="http://schemas.openxmlformats.org/officeDocument/2006/relationships/hyperlink" Target="http://www.energypoverty.gr"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image" Target="media/image2.png"/><Relationship Id="rId19" Type="http://schemas.openxmlformats.org/officeDocument/2006/relationships/image" Target="media/image6.png"/><Relationship Id="rId44"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customXml" Target="ink/ink1.xml"/><Relationship Id="rId43" Type="http://schemas.openxmlformats.org/officeDocument/2006/relationships/diagramColors" Target="diagrams/colors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image" Target="media/image4.png"/><Relationship Id="rId25" Type="http://schemas.openxmlformats.org/officeDocument/2006/relationships/diagramData" Target="diagrams/data3.xml"/><Relationship Id="rId38" Type="http://schemas.openxmlformats.org/officeDocument/2006/relationships/customXml" Target="ink/ink2.xml"/><Relationship Id="rId46"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poverty.eu/indicators-data" TargetMode="External"/><Relationship Id="rId2" Type="http://schemas.openxmlformats.org/officeDocument/2006/relationships/hyperlink" Target="https://www.energycost.gr/" TargetMode="External"/><Relationship Id="rId1" Type="http://schemas.openxmlformats.org/officeDocument/2006/relationships/hyperlink" Target="https://ec.europa.eu/energy/topics/markets-and-consumers/energy-consumer-rights/energy-poverty_en?redir=1"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043B26-D512-424C-81A8-36AEF3C73961}" type="doc">
      <dgm:prSet loTypeId="urn:microsoft.com/office/officeart/2005/8/layout/hProcess4" loCatId="process" qsTypeId="urn:microsoft.com/office/officeart/2005/8/quickstyle/simple1" qsCatId="simple" csTypeId="urn:microsoft.com/office/officeart/2005/8/colors/accent1_4" csCatId="accent1" phldr="1"/>
      <dgm:spPr/>
      <dgm:t>
        <a:bodyPr/>
        <a:lstStyle/>
        <a:p>
          <a:endParaRPr lang="en-US"/>
        </a:p>
      </dgm:t>
    </dgm:pt>
    <dgm:pt modelId="{9F469869-D998-4943-8CCA-529B312A378B}">
      <dgm:prSet phldrT="[Text]" custT="1"/>
      <dgm:spPr/>
      <dgm:t>
        <a:bodyPr/>
        <a:lstStyle/>
        <a:p>
          <a:r>
            <a:rPr lang="el-GR" sz="1100" b="1"/>
            <a:t>2016</a:t>
          </a:r>
          <a:endParaRPr lang="en-US" sz="1100" b="1"/>
        </a:p>
      </dgm:t>
    </dgm:pt>
    <dgm:pt modelId="{129312AE-E77C-4BD6-AC78-1FA5902FF150}" type="parTrans" cxnId="{E464286E-5FB5-464E-8E35-7571D8EFE602}">
      <dgm:prSet/>
      <dgm:spPr/>
      <dgm:t>
        <a:bodyPr/>
        <a:lstStyle/>
        <a:p>
          <a:endParaRPr lang="en-US" sz="1100" b="1"/>
        </a:p>
      </dgm:t>
    </dgm:pt>
    <dgm:pt modelId="{8A0B51C8-FD3C-4514-9234-4AEA9E7E2832}" type="sibTrans" cxnId="{E464286E-5FB5-464E-8E35-7571D8EFE602}">
      <dgm:prSet/>
      <dgm:spPr/>
      <dgm:t>
        <a:bodyPr/>
        <a:lstStyle/>
        <a:p>
          <a:endParaRPr lang="en-US" sz="1100" b="1"/>
        </a:p>
      </dgm:t>
    </dgm:pt>
    <dgm:pt modelId="{A2CE2AAB-CEAC-4AAE-9019-35E7AED6B4E9}">
      <dgm:prSet phldrT="[Text]" custT="1"/>
      <dgm:spPr/>
      <dgm:t>
        <a:bodyPr anchor="ctr" anchorCtr="0"/>
        <a:lstStyle/>
        <a:p>
          <a:pPr algn="ctr"/>
          <a:r>
            <a:rPr lang="el-GR" sz="1100" b="1"/>
            <a:t>Καθορισμός ως έτος βάσης αναφοράς</a:t>
          </a:r>
          <a:endParaRPr lang="en-US" sz="1100" b="1"/>
        </a:p>
      </dgm:t>
    </dgm:pt>
    <dgm:pt modelId="{9014A6DB-F5B8-432E-A0A2-E0D15800E047}" type="parTrans" cxnId="{D53E00C4-1546-4664-98D9-32A82CE1AE4F}">
      <dgm:prSet/>
      <dgm:spPr/>
      <dgm:t>
        <a:bodyPr/>
        <a:lstStyle/>
        <a:p>
          <a:endParaRPr lang="en-US" sz="1100" b="1"/>
        </a:p>
      </dgm:t>
    </dgm:pt>
    <dgm:pt modelId="{268C608A-0DCD-4D6F-93DD-6B45BB1B7E82}" type="sibTrans" cxnId="{D53E00C4-1546-4664-98D9-32A82CE1AE4F}">
      <dgm:prSet/>
      <dgm:spPr/>
      <dgm:t>
        <a:bodyPr/>
        <a:lstStyle/>
        <a:p>
          <a:endParaRPr lang="en-US" sz="1100" b="1"/>
        </a:p>
      </dgm:t>
    </dgm:pt>
    <dgm:pt modelId="{5D91A2A4-08EB-49DA-920C-882F5CF06FFD}">
      <dgm:prSet phldrT="[Text]" custT="1"/>
      <dgm:spPr/>
      <dgm:t>
        <a:bodyPr/>
        <a:lstStyle/>
        <a:p>
          <a:r>
            <a:rPr lang="el-GR" sz="1100" b="1"/>
            <a:t>2025</a:t>
          </a:r>
          <a:endParaRPr lang="en-US" sz="1100" b="1"/>
        </a:p>
      </dgm:t>
    </dgm:pt>
    <dgm:pt modelId="{DFAEC667-244B-49FC-AC1F-B1B11C00D6CB}" type="parTrans" cxnId="{7C6AB8C7-5F33-4042-9275-B7FD276AC32E}">
      <dgm:prSet/>
      <dgm:spPr/>
      <dgm:t>
        <a:bodyPr/>
        <a:lstStyle/>
        <a:p>
          <a:endParaRPr lang="en-US" sz="1100" b="1"/>
        </a:p>
      </dgm:t>
    </dgm:pt>
    <dgm:pt modelId="{7AFA07C7-9EDF-4382-B7B1-242C73E8E82D}" type="sibTrans" cxnId="{7C6AB8C7-5F33-4042-9275-B7FD276AC32E}">
      <dgm:prSet/>
      <dgm:spPr/>
      <dgm:t>
        <a:bodyPr/>
        <a:lstStyle/>
        <a:p>
          <a:endParaRPr lang="en-US" sz="1100" b="1"/>
        </a:p>
      </dgm:t>
    </dgm:pt>
    <dgm:pt modelId="{BB3DFA38-F949-46A3-B66C-B949AFC21DBF}">
      <dgm:prSet phldrT="[Text]" custT="1"/>
      <dgm:spPr/>
      <dgm:t>
        <a:bodyPr anchor="ctr" anchorCtr="0"/>
        <a:lstStyle/>
        <a:p>
          <a:pPr algn="ctr"/>
          <a:r>
            <a:rPr lang="el-GR" sz="1100" b="1"/>
            <a:t>Μείωση φαινομένου ενεργειακής ένδειας κατά 50%</a:t>
          </a:r>
          <a:endParaRPr lang="en-US" sz="1100" b="1"/>
        </a:p>
      </dgm:t>
    </dgm:pt>
    <dgm:pt modelId="{8A268F3F-DD31-4EE7-B9F0-497AC8B3F471}" type="parTrans" cxnId="{E3D57E4B-DD0C-443B-8169-967C8071F7A2}">
      <dgm:prSet/>
      <dgm:spPr/>
      <dgm:t>
        <a:bodyPr/>
        <a:lstStyle/>
        <a:p>
          <a:endParaRPr lang="en-US" sz="1100" b="1"/>
        </a:p>
      </dgm:t>
    </dgm:pt>
    <dgm:pt modelId="{4D2DE5A4-ECC2-4EE1-A9EA-0EBD26CC1B99}" type="sibTrans" cxnId="{E3D57E4B-DD0C-443B-8169-967C8071F7A2}">
      <dgm:prSet/>
      <dgm:spPr/>
      <dgm:t>
        <a:bodyPr/>
        <a:lstStyle/>
        <a:p>
          <a:endParaRPr lang="en-US" sz="1100" b="1"/>
        </a:p>
      </dgm:t>
    </dgm:pt>
    <dgm:pt modelId="{D1F0194F-5C7F-45BE-BF0D-8F01BA3D2809}">
      <dgm:prSet phldrT="[Text]" custT="1"/>
      <dgm:spPr/>
      <dgm:t>
        <a:bodyPr/>
        <a:lstStyle/>
        <a:p>
          <a:r>
            <a:rPr lang="el-GR" sz="1100" b="1"/>
            <a:t>2030</a:t>
          </a:r>
          <a:endParaRPr lang="en-US" sz="1100" b="1"/>
        </a:p>
      </dgm:t>
    </dgm:pt>
    <dgm:pt modelId="{D25CAFC3-AF7C-4BAB-A3B7-DFDF6D80156B}" type="parTrans" cxnId="{48015820-AED5-4588-A0FE-B8C9BFAD8BC4}">
      <dgm:prSet/>
      <dgm:spPr/>
      <dgm:t>
        <a:bodyPr/>
        <a:lstStyle/>
        <a:p>
          <a:endParaRPr lang="en-US" sz="1100" b="1"/>
        </a:p>
      </dgm:t>
    </dgm:pt>
    <dgm:pt modelId="{7B4E68E9-6FAB-458E-B108-90394BD912AC}" type="sibTrans" cxnId="{48015820-AED5-4588-A0FE-B8C9BFAD8BC4}">
      <dgm:prSet/>
      <dgm:spPr/>
      <dgm:t>
        <a:bodyPr/>
        <a:lstStyle/>
        <a:p>
          <a:endParaRPr lang="en-US" sz="1100" b="1"/>
        </a:p>
      </dgm:t>
    </dgm:pt>
    <dgm:pt modelId="{9AFC11B0-A819-45BA-80E9-1A1578AD5EC1}">
      <dgm:prSet phldrT="[Text]" custT="1"/>
      <dgm:spPr/>
      <dgm:t>
        <a:bodyPr anchor="ctr" anchorCtr="0"/>
        <a:lstStyle/>
        <a:p>
          <a:pPr algn="ctr"/>
          <a:r>
            <a:rPr lang="el-GR" sz="1100" b="1"/>
            <a:t>Μείωση φαινομένου ενεργειακής ένδειας κατά 75%</a:t>
          </a:r>
          <a:endParaRPr lang="en-US" sz="1100" b="1"/>
        </a:p>
      </dgm:t>
    </dgm:pt>
    <dgm:pt modelId="{BFA2F418-258F-452D-A722-4D55E89BBC14}" type="parTrans" cxnId="{C46C14F6-45BB-4D41-B8BD-D07071614730}">
      <dgm:prSet/>
      <dgm:spPr/>
      <dgm:t>
        <a:bodyPr/>
        <a:lstStyle/>
        <a:p>
          <a:endParaRPr lang="en-US" sz="1100" b="1"/>
        </a:p>
      </dgm:t>
    </dgm:pt>
    <dgm:pt modelId="{1CC86F91-C47B-4171-9E4F-1DDC1C0DD44E}" type="sibTrans" cxnId="{C46C14F6-45BB-4D41-B8BD-D07071614730}">
      <dgm:prSet/>
      <dgm:spPr/>
      <dgm:t>
        <a:bodyPr/>
        <a:lstStyle/>
        <a:p>
          <a:endParaRPr lang="en-US" sz="1100" b="1"/>
        </a:p>
      </dgm:t>
    </dgm:pt>
    <dgm:pt modelId="{92EB0954-53E0-447D-82FD-DA4C7A416126}" type="pres">
      <dgm:prSet presAssocID="{86043B26-D512-424C-81A8-36AEF3C73961}" presName="Name0" presStyleCnt="0">
        <dgm:presLayoutVars>
          <dgm:dir/>
          <dgm:animLvl val="lvl"/>
          <dgm:resizeHandles val="exact"/>
        </dgm:presLayoutVars>
      </dgm:prSet>
      <dgm:spPr/>
    </dgm:pt>
    <dgm:pt modelId="{B675F2F5-9647-4BFF-A50B-41917370C1CD}" type="pres">
      <dgm:prSet presAssocID="{86043B26-D512-424C-81A8-36AEF3C73961}" presName="tSp" presStyleCnt="0"/>
      <dgm:spPr/>
    </dgm:pt>
    <dgm:pt modelId="{4B7A7D28-41AA-4EC9-AE35-582446161704}" type="pres">
      <dgm:prSet presAssocID="{86043B26-D512-424C-81A8-36AEF3C73961}" presName="bSp" presStyleCnt="0"/>
      <dgm:spPr/>
    </dgm:pt>
    <dgm:pt modelId="{503E0431-222D-442A-9CFB-42F961768F1B}" type="pres">
      <dgm:prSet presAssocID="{86043B26-D512-424C-81A8-36AEF3C73961}" presName="process" presStyleCnt="0"/>
      <dgm:spPr/>
    </dgm:pt>
    <dgm:pt modelId="{5DC8BFA2-B11F-4059-854E-3ABDA5E9ACDA}" type="pres">
      <dgm:prSet presAssocID="{9F469869-D998-4943-8CCA-529B312A378B}" presName="composite1" presStyleCnt="0"/>
      <dgm:spPr/>
    </dgm:pt>
    <dgm:pt modelId="{24F8B06D-C825-4AE7-9B38-816E81D52561}" type="pres">
      <dgm:prSet presAssocID="{9F469869-D998-4943-8CCA-529B312A378B}" presName="dummyNode1" presStyleLbl="node1" presStyleIdx="0" presStyleCnt="3"/>
      <dgm:spPr/>
    </dgm:pt>
    <dgm:pt modelId="{FDE51239-F267-4A50-9FF0-CC91E4CDAE69}" type="pres">
      <dgm:prSet presAssocID="{9F469869-D998-4943-8CCA-529B312A378B}" presName="childNode1" presStyleLbl="bgAcc1" presStyleIdx="0" presStyleCnt="3">
        <dgm:presLayoutVars>
          <dgm:bulletEnabled val="1"/>
        </dgm:presLayoutVars>
      </dgm:prSet>
      <dgm:spPr/>
    </dgm:pt>
    <dgm:pt modelId="{8AD4EE74-AE6D-4213-9FF5-2410F3EB9E7A}" type="pres">
      <dgm:prSet presAssocID="{9F469869-D998-4943-8CCA-529B312A378B}" presName="childNode1tx" presStyleLbl="bgAcc1" presStyleIdx="0" presStyleCnt="3">
        <dgm:presLayoutVars>
          <dgm:bulletEnabled val="1"/>
        </dgm:presLayoutVars>
      </dgm:prSet>
      <dgm:spPr/>
    </dgm:pt>
    <dgm:pt modelId="{A6325EB9-C294-43F8-921C-FD820AA3A65F}" type="pres">
      <dgm:prSet presAssocID="{9F469869-D998-4943-8CCA-529B312A378B}" presName="parentNode1" presStyleLbl="node1" presStyleIdx="0" presStyleCnt="3">
        <dgm:presLayoutVars>
          <dgm:chMax val="1"/>
          <dgm:bulletEnabled val="1"/>
        </dgm:presLayoutVars>
      </dgm:prSet>
      <dgm:spPr/>
    </dgm:pt>
    <dgm:pt modelId="{A82D6FFB-EC81-44B2-8441-B2153545BC79}" type="pres">
      <dgm:prSet presAssocID="{9F469869-D998-4943-8CCA-529B312A378B}" presName="connSite1" presStyleCnt="0"/>
      <dgm:spPr/>
    </dgm:pt>
    <dgm:pt modelId="{46E32E15-1596-4314-81D2-72E08CDDC098}" type="pres">
      <dgm:prSet presAssocID="{8A0B51C8-FD3C-4514-9234-4AEA9E7E2832}" presName="Name9" presStyleLbl="sibTrans2D1" presStyleIdx="0" presStyleCnt="2"/>
      <dgm:spPr/>
    </dgm:pt>
    <dgm:pt modelId="{C806C3F0-06B7-4A6A-BFEF-5925771DE368}" type="pres">
      <dgm:prSet presAssocID="{5D91A2A4-08EB-49DA-920C-882F5CF06FFD}" presName="composite2" presStyleCnt="0"/>
      <dgm:spPr/>
    </dgm:pt>
    <dgm:pt modelId="{7E2CE727-2875-4D7D-B344-21C57BA976F7}" type="pres">
      <dgm:prSet presAssocID="{5D91A2A4-08EB-49DA-920C-882F5CF06FFD}" presName="dummyNode2" presStyleLbl="node1" presStyleIdx="0" presStyleCnt="3"/>
      <dgm:spPr/>
    </dgm:pt>
    <dgm:pt modelId="{8EBB3859-D862-4903-B478-940B94CFB026}" type="pres">
      <dgm:prSet presAssocID="{5D91A2A4-08EB-49DA-920C-882F5CF06FFD}" presName="childNode2" presStyleLbl="bgAcc1" presStyleIdx="1" presStyleCnt="3">
        <dgm:presLayoutVars>
          <dgm:bulletEnabled val="1"/>
        </dgm:presLayoutVars>
      </dgm:prSet>
      <dgm:spPr/>
    </dgm:pt>
    <dgm:pt modelId="{10264C12-ED65-4CA8-9148-CDC809C4AC55}" type="pres">
      <dgm:prSet presAssocID="{5D91A2A4-08EB-49DA-920C-882F5CF06FFD}" presName="childNode2tx" presStyleLbl="bgAcc1" presStyleIdx="1" presStyleCnt="3">
        <dgm:presLayoutVars>
          <dgm:bulletEnabled val="1"/>
        </dgm:presLayoutVars>
      </dgm:prSet>
      <dgm:spPr/>
    </dgm:pt>
    <dgm:pt modelId="{B391BC1A-D3DF-4DFA-93BE-1DC3F2B0F358}" type="pres">
      <dgm:prSet presAssocID="{5D91A2A4-08EB-49DA-920C-882F5CF06FFD}" presName="parentNode2" presStyleLbl="node1" presStyleIdx="1" presStyleCnt="3">
        <dgm:presLayoutVars>
          <dgm:chMax val="0"/>
          <dgm:bulletEnabled val="1"/>
        </dgm:presLayoutVars>
      </dgm:prSet>
      <dgm:spPr/>
    </dgm:pt>
    <dgm:pt modelId="{86590E56-F98A-4BD0-8F84-9653C890A3FB}" type="pres">
      <dgm:prSet presAssocID="{5D91A2A4-08EB-49DA-920C-882F5CF06FFD}" presName="connSite2" presStyleCnt="0"/>
      <dgm:spPr/>
    </dgm:pt>
    <dgm:pt modelId="{F8815F3A-9DA5-497C-AA51-774B4B0191FC}" type="pres">
      <dgm:prSet presAssocID="{7AFA07C7-9EDF-4382-B7B1-242C73E8E82D}" presName="Name18" presStyleLbl="sibTrans2D1" presStyleIdx="1" presStyleCnt="2"/>
      <dgm:spPr/>
    </dgm:pt>
    <dgm:pt modelId="{7B2C331D-C632-4DB1-8A64-D9D689A66CF2}" type="pres">
      <dgm:prSet presAssocID="{D1F0194F-5C7F-45BE-BF0D-8F01BA3D2809}" presName="composite1" presStyleCnt="0"/>
      <dgm:spPr/>
    </dgm:pt>
    <dgm:pt modelId="{A1E5B8CA-3023-4DD9-89EC-BC8DA5F77EB7}" type="pres">
      <dgm:prSet presAssocID="{D1F0194F-5C7F-45BE-BF0D-8F01BA3D2809}" presName="dummyNode1" presStyleLbl="node1" presStyleIdx="1" presStyleCnt="3"/>
      <dgm:spPr/>
    </dgm:pt>
    <dgm:pt modelId="{39030291-5068-4232-B23D-CC8E58D84432}" type="pres">
      <dgm:prSet presAssocID="{D1F0194F-5C7F-45BE-BF0D-8F01BA3D2809}" presName="childNode1" presStyleLbl="bgAcc1" presStyleIdx="2" presStyleCnt="3">
        <dgm:presLayoutVars>
          <dgm:bulletEnabled val="1"/>
        </dgm:presLayoutVars>
      </dgm:prSet>
      <dgm:spPr/>
    </dgm:pt>
    <dgm:pt modelId="{7A36D1EF-57FF-4C08-8CA0-6F6C6857283A}" type="pres">
      <dgm:prSet presAssocID="{D1F0194F-5C7F-45BE-BF0D-8F01BA3D2809}" presName="childNode1tx" presStyleLbl="bgAcc1" presStyleIdx="2" presStyleCnt="3">
        <dgm:presLayoutVars>
          <dgm:bulletEnabled val="1"/>
        </dgm:presLayoutVars>
      </dgm:prSet>
      <dgm:spPr/>
    </dgm:pt>
    <dgm:pt modelId="{C3261CC0-4995-4A72-AA2B-DD30881B844E}" type="pres">
      <dgm:prSet presAssocID="{D1F0194F-5C7F-45BE-BF0D-8F01BA3D2809}" presName="parentNode1" presStyleLbl="node1" presStyleIdx="2" presStyleCnt="3">
        <dgm:presLayoutVars>
          <dgm:chMax val="1"/>
          <dgm:bulletEnabled val="1"/>
        </dgm:presLayoutVars>
      </dgm:prSet>
      <dgm:spPr/>
    </dgm:pt>
    <dgm:pt modelId="{BD5F274F-BC1F-4E06-852B-63BB1DCF179C}" type="pres">
      <dgm:prSet presAssocID="{D1F0194F-5C7F-45BE-BF0D-8F01BA3D2809}" presName="connSite1" presStyleCnt="0"/>
      <dgm:spPr/>
    </dgm:pt>
  </dgm:ptLst>
  <dgm:cxnLst>
    <dgm:cxn modelId="{E2BDC809-75D6-4303-96C4-7D30E436FC50}" type="presOf" srcId="{A2CE2AAB-CEAC-4AAE-9019-35E7AED6B4E9}" destId="{FDE51239-F267-4A50-9FF0-CC91E4CDAE69}" srcOrd="0" destOrd="0" presId="urn:microsoft.com/office/officeart/2005/8/layout/hProcess4"/>
    <dgm:cxn modelId="{48015820-AED5-4588-A0FE-B8C9BFAD8BC4}" srcId="{86043B26-D512-424C-81A8-36AEF3C73961}" destId="{D1F0194F-5C7F-45BE-BF0D-8F01BA3D2809}" srcOrd="2" destOrd="0" parTransId="{D25CAFC3-AF7C-4BAB-A3B7-DFDF6D80156B}" sibTransId="{7B4E68E9-6FAB-458E-B108-90394BD912AC}"/>
    <dgm:cxn modelId="{BBAC5324-D2A2-439B-80B1-A2BD2BC34E3B}" type="presOf" srcId="{5D91A2A4-08EB-49DA-920C-882F5CF06FFD}" destId="{B391BC1A-D3DF-4DFA-93BE-1DC3F2B0F358}" srcOrd="0" destOrd="0" presId="urn:microsoft.com/office/officeart/2005/8/layout/hProcess4"/>
    <dgm:cxn modelId="{D631692D-A746-48F7-8CEE-B68A31115C64}" type="presOf" srcId="{9F469869-D998-4943-8CCA-529B312A378B}" destId="{A6325EB9-C294-43F8-921C-FD820AA3A65F}" srcOrd="0" destOrd="0" presId="urn:microsoft.com/office/officeart/2005/8/layout/hProcess4"/>
    <dgm:cxn modelId="{7ED21533-DE54-4A82-9436-2D1709776B5E}" type="presOf" srcId="{86043B26-D512-424C-81A8-36AEF3C73961}" destId="{92EB0954-53E0-447D-82FD-DA4C7A416126}" srcOrd="0" destOrd="0" presId="urn:microsoft.com/office/officeart/2005/8/layout/hProcess4"/>
    <dgm:cxn modelId="{E3D57E4B-DD0C-443B-8169-967C8071F7A2}" srcId="{5D91A2A4-08EB-49DA-920C-882F5CF06FFD}" destId="{BB3DFA38-F949-46A3-B66C-B949AFC21DBF}" srcOrd="0" destOrd="0" parTransId="{8A268F3F-DD31-4EE7-B9F0-497AC8B3F471}" sibTransId="{4D2DE5A4-ECC2-4EE1-A9EA-0EBD26CC1B99}"/>
    <dgm:cxn modelId="{88ED074E-45FF-4F81-B1B8-2B76E5BBBAC9}" type="presOf" srcId="{9AFC11B0-A819-45BA-80E9-1A1578AD5EC1}" destId="{7A36D1EF-57FF-4C08-8CA0-6F6C6857283A}" srcOrd="1" destOrd="0" presId="urn:microsoft.com/office/officeart/2005/8/layout/hProcess4"/>
    <dgm:cxn modelId="{E464286E-5FB5-464E-8E35-7571D8EFE602}" srcId="{86043B26-D512-424C-81A8-36AEF3C73961}" destId="{9F469869-D998-4943-8CCA-529B312A378B}" srcOrd="0" destOrd="0" parTransId="{129312AE-E77C-4BD6-AC78-1FA5902FF150}" sibTransId="{8A0B51C8-FD3C-4514-9234-4AEA9E7E2832}"/>
    <dgm:cxn modelId="{CD039772-7B33-4401-8197-F84AD41578B2}" type="presOf" srcId="{A2CE2AAB-CEAC-4AAE-9019-35E7AED6B4E9}" destId="{8AD4EE74-AE6D-4213-9FF5-2410F3EB9E7A}" srcOrd="1" destOrd="0" presId="urn:microsoft.com/office/officeart/2005/8/layout/hProcess4"/>
    <dgm:cxn modelId="{A757DE7D-B398-4EE8-A2E1-548F9EB8A1AA}" type="presOf" srcId="{D1F0194F-5C7F-45BE-BF0D-8F01BA3D2809}" destId="{C3261CC0-4995-4A72-AA2B-DD30881B844E}" srcOrd="0" destOrd="0" presId="urn:microsoft.com/office/officeart/2005/8/layout/hProcess4"/>
    <dgm:cxn modelId="{4191739D-88DC-4BA9-B662-2139B9BF3E94}" type="presOf" srcId="{BB3DFA38-F949-46A3-B66C-B949AFC21DBF}" destId="{10264C12-ED65-4CA8-9148-CDC809C4AC55}" srcOrd="1" destOrd="0" presId="urn:microsoft.com/office/officeart/2005/8/layout/hProcess4"/>
    <dgm:cxn modelId="{A96EA1A5-D617-44B2-88AC-7F1FB51D718E}" type="presOf" srcId="{7AFA07C7-9EDF-4382-B7B1-242C73E8E82D}" destId="{F8815F3A-9DA5-497C-AA51-774B4B0191FC}" srcOrd="0" destOrd="0" presId="urn:microsoft.com/office/officeart/2005/8/layout/hProcess4"/>
    <dgm:cxn modelId="{EFD790C1-C4E9-46B4-A483-482ACE85924B}" type="presOf" srcId="{8A0B51C8-FD3C-4514-9234-4AEA9E7E2832}" destId="{46E32E15-1596-4314-81D2-72E08CDDC098}" srcOrd="0" destOrd="0" presId="urn:microsoft.com/office/officeart/2005/8/layout/hProcess4"/>
    <dgm:cxn modelId="{D53E00C4-1546-4664-98D9-32A82CE1AE4F}" srcId="{9F469869-D998-4943-8CCA-529B312A378B}" destId="{A2CE2AAB-CEAC-4AAE-9019-35E7AED6B4E9}" srcOrd="0" destOrd="0" parTransId="{9014A6DB-F5B8-432E-A0A2-E0D15800E047}" sibTransId="{268C608A-0DCD-4D6F-93DD-6B45BB1B7E82}"/>
    <dgm:cxn modelId="{C5F9A4C5-A6D6-4156-9386-7B2A85A10CFA}" type="presOf" srcId="{BB3DFA38-F949-46A3-B66C-B949AFC21DBF}" destId="{8EBB3859-D862-4903-B478-940B94CFB026}" srcOrd="0" destOrd="0" presId="urn:microsoft.com/office/officeart/2005/8/layout/hProcess4"/>
    <dgm:cxn modelId="{7C6AB8C7-5F33-4042-9275-B7FD276AC32E}" srcId="{86043B26-D512-424C-81A8-36AEF3C73961}" destId="{5D91A2A4-08EB-49DA-920C-882F5CF06FFD}" srcOrd="1" destOrd="0" parTransId="{DFAEC667-244B-49FC-AC1F-B1B11C00D6CB}" sibTransId="{7AFA07C7-9EDF-4382-B7B1-242C73E8E82D}"/>
    <dgm:cxn modelId="{0145B9DA-E562-4B0C-A343-28223822BE9F}" type="presOf" srcId="{9AFC11B0-A819-45BA-80E9-1A1578AD5EC1}" destId="{39030291-5068-4232-B23D-CC8E58D84432}" srcOrd="0" destOrd="0" presId="urn:microsoft.com/office/officeart/2005/8/layout/hProcess4"/>
    <dgm:cxn modelId="{C46C14F6-45BB-4D41-B8BD-D07071614730}" srcId="{D1F0194F-5C7F-45BE-BF0D-8F01BA3D2809}" destId="{9AFC11B0-A819-45BA-80E9-1A1578AD5EC1}" srcOrd="0" destOrd="0" parTransId="{BFA2F418-258F-452D-A722-4D55E89BBC14}" sibTransId="{1CC86F91-C47B-4171-9E4F-1DDC1C0DD44E}"/>
    <dgm:cxn modelId="{3C615F4B-767C-4728-A4C0-CD434D6FE73E}" type="presParOf" srcId="{92EB0954-53E0-447D-82FD-DA4C7A416126}" destId="{B675F2F5-9647-4BFF-A50B-41917370C1CD}" srcOrd="0" destOrd="0" presId="urn:microsoft.com/office/officeart/2005/8/layout/hProcess4"/>
    <dgm:cxn modelId="{7FE7268E-E97F-4BAA-AEFE-0FE9EEEB550F}" type="presParOf" srcId="{92EB0954-53E0-447D-82FD-DA4C7A416126}" destId="{4B7A7D28-41AA-4EC9-AE35-582446161704}" srcOrd="1" destOrd="0" presId="urn:microsoft.com/office/officeart/2005/8/layout/hProcess4"/>
    <dgm:cxn modelId="{EBB77FC1-DC22-448A-B163-EFB7459CD62C}" type="presParOf" srcId="{92EB0954-53E0-447D-82FD-DA4C7A416126}" destId="{503E0431-222D-442A-9CFB-42F961768F1B}" srcOrd="2" destOrd="0" presId="urn:microsoft.com/office/officeart/2005/8/layout/hProcess4"/>
    <dgm:cxn modelId="{56B9C967-4269-4BCD-B0C7-4D5215C5AF67}" type="presParOf" srcId="{503E0431-222D-442A-9CFB-42F961768F1B}" destId="{5DC8BFA2-B11F-4059-854E-3ABDA5E9ACDA}" srcOrd="0" destOrd="0" presId="urn:microsoft.com/office/officeart/2005/8/layout/hProcess4"/>
    <dgm:cxn modelId="{E4D57678-8754-4E7C-B705-D7505630F310}" type="presParOf" srcId="{5DC8BFA2-B11F-4059-854E-3ABDA5E9ACDA}" destId="{24F8B06D-C825-4AE7-9B38-816E81D52561}" srcOrd="0" destOrd="0" presId="urn:microsoft.com/office/officeart/2005/8/layout/hProcess4"/>
    <dgm:cxn modelId="{0CC05523-FB25-4244-9E56-765CF19CFB87}" type="presParOf" srcId="{5DC8BFA2-B11F-4059-854E-3ABDA5E9ACDA}" destId="{FDE51239-F267-4A50-9FF0-CC91E4CDAE69}" srcOrd="1" destOrd="0" presId="urn:microsoft.com/office/officeart/2005/8/layout/hProcess4"/>
    <dgm:cxn modelId="{B69DD2AE-E124-40A6-9A22-1B0C9FB959CB}" type="presParOf" srcId="{5DC8BFA2-B11F-4059-854E-3ABDA5E9ACDA}" destId="{8AD4EE74-AE6D-4213-9FF5-2410F3EB9E7A}" srcOrd="2" destOrd="0" presId="urn:microsoft.com/office/officeart/2005/8/layout/hProcess4"/>
    <dgm:cxn modelId="{72B5EBF0-F47C-45A7-BFDE-240BB04CAA03}" type="presParOf" srcId="{5DC8BFA2-B11F-4059-854E-3ABDA5E9ACDA}" destId="{A6325EB9-C294-43F8-921C-FD820AA3A65F}" srcOrd="3" destOrd="0" presId="urn:microsoft.com/office/officeart/2005/8/layout/hProcess4"/>
    <dgm:cxn modelId="{E08D7DC5-013D-4C76-AECF-A550ED37BE2E}" type="presParOf" srcId="{5DC8BFA2-B11F-4059-854E-3ABDA5E9ACDA}" destId="{A82D6FFB-EC81-44B2-8441-B2153545BC79}" srcOrd="4" destOrd="0" presId="urn:microsoft.com/office/officeart/2005/8/layout/hProcess4"/>
    <dgm:cxn modelId="{DF7E761E-0592-4D12-89BC-79E3DA69E212}" type="presParOf" srcId="{503E0431-222D-442A-9CFB-42F961768F1B}" destId="{46E32E15-1596-4314-81D2-72E08CDDC098}" srcOrd="1" destOrd="0" presId="urn:microsoft.com/office/officeart/2005/8/layout/hProcess4"/>
    <dgm:cxn modelId="{249AD736-B927-4C0F-B0C6-40334D36976A}" type="presParOf" srcId="{503E0431-222D-442A-9CFB-42F961768F1B}" destId="{C806C3F0-06B7-4A6A-BFEF-5925771DE368}" srcOrd="2" destOrd="0" presId="urn:microsoft.com/office/officeart/2005/8/layout/hProcess4"/>
    <dgm:cxn modelId="{3EB2BD3D-6564-4ACB-96B0-56F3F6E27627}" type="presParOf" srcId="{C806C3F0-06B7-4A6A-BFEF-5925771DE368}" destId="{7E2CE727-2875-4D7D-B344-21C57BA976F7}" srcOrd="0" destOrd="0" presId="urn:microsoft.com/office/officeart/2005/8/layout/hProcess4"/>
    <dgm:cxn modelId="{F206573F-9F93-4A96-8B6F-F0833F3447B7}" type="presParOf" srcId="{C806C3F0-06B7-4A6A-BFEF-5925771DE368}" destId="{8EBB3859-D862-4903-B478-940B94CFB026}" srcOrd="1" destOrd="0" presId="urn:microsoft.com/office/officeart/2005/8/layout/hProcess4"/>
    <dgm:cxn modelId="{4441CA7A-AA25-4A21-B8A3-D8CE4092AF69}" type="presParOf" srcId="{C806C3F0-06B7-4A6A-BFEF-5925771DE368}" destId="{10264C12-ED65-4CA8-9148-CDC809C4AC55}" srcOrd="2" destOrd="0" presId="urn:microsoft.com/office/officeart/2005/8/layout/hProcess4"/>
    <dgm:cxn modelId="{81A69F1A-7A76-4868-9E85-7AB3C55C1C7E}" type="presParOf" srcId="{C806C3F0-06B7-4A6A-BFEF-5925771DE368}" destId="{B391BC1A-D3DF-4DFA-93BE-1DC3F2B0F358}" srcOrd="3" destOrd="0" presId="urn:microsoft.com/office/officeart/2005/8/layout/hProcess4"/>
    <dgm:cxn modelId="{7B2E6107-E1B0-47F1-8CD1-475E30B870C5}" type="presParOf" srcId="{C806C3F0-06B7-4A6A-BFEF-5925771DE368}" destId="{86590E56-F98A-4BD0-8F84-9653C890A3FB}" srcOrd="4" destOrd="0" presId="urn:microsoft.com/office/officeart/2005/8/layout/hProcess4"/>
    <dgm:cxn modelId="{2FE89363-D308-4B59-967B-AAB16105E9F5}" type="presParOf" srcId="{503E0431-222D-442A-9CFB-42F961768F1B}" destId="{F8815F3A-9DA5-497C-AA51-774B4B0191FC}" srcOrd="3" destOrd="0" presId="urn:microsoft.com/office/officeart/2005/8/layout/hProcess4"/>
    <dgm:cxn modelId="{F6884FED-AD8E-4498-B634-88139B88AEE5}" type="presParOf" srcId="{503E0431-222D-442A-9CFB-42F961768F1B}" destId="{7B2C331D-C632-4DB1-8A64-D9D689A66CF2}" srcOrd="4" destOrd="0" presId="urn:microsoft.com/office/officeart/2005/8/layout/hProcess4"/>
    <dgm:cxn modelId="{B8651F40-60BD-48D0-ABC1-9C5583FBFA1F}" type="presParOf" srcId="{7B2C331D-C632-4DB1-8A64-D9D689A66CF2}" destId="{A1E5B8CA-3023-4DD9-89EC-BC8DA5F77EB7}" srcOrd="0" destOrd="0" presId="urn:microsoft.com/office/officeart/2005/8/layout/hProcess4"/>
    <dgm:cxn modelId="{8D8D99BE-9F44-48FC-B655-01AF1A42BA98}" type="presParOf" srcId="{7B2C331D-C632-4DB1-8A64-D9D689A66CF2}" destId="{39030291-5068-4232-B23D-CC8E58D84432}" srcOrd="1" destOrd="0" presId="urn:microsoft.com/office/officeart/2005/8/layout/hProcess4"/>
    <dgm:cxn modelId="{1D4218D7-EF99-4B68-A63B-F31785F327F3}" type="presParOf" srcId="{7B2C331D-C632-4DB1-8A64-D9D689A66CF2}" destId="{7A36D1EF-57FF-4C08-8CA0-6F6C6857283A}" srcOrd="2" destOrd="0" presId="urn:microsoft.com/office/officeart/2005/8/layout/hProcess4"/>
    <dgm:cxn modelId="{F83CDF88-4A26-43EA-A6E2-885FE2315464}" type="presParOf" srcId="{7B2C331D-C632-4DB1-8A64-D9D689A66CF2}" destId="{C3261CC0-4995-4A72-AA2B-DD30881B844E}" srcOrd="3" destOrd="0" presId="urn:microsoft.com/office/officeart/2005/8/layout/hProcess4"/>
    <dgm:cxn modelId="{560C1905-967E-403C-91BA-A5AED9FF7107}" type="presParOf" srcId="{7B2C331D-C632-4DB1-8A64-D9D689A66CF2}" destId="{BD5F274F-BC1F-4E06-852B-63BB1DCF179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1AA125-2C2E-45A7-BE57-5A6B90C0B965}" type="doc">
      <dgm:prSet loTypeId="urn:microsoft.com/office/officeart/2005/8/layout/pyramid2" loCatId="list" qsTypeId="urn:microsoft.com/office/officeart/2005/8/quickstyle/simple1" qsCatId="simple" csTypeId="urn:microsoft.com/office/officeart/2005/8/colors/accent1_2" csCatId="accent1" phldr="1"/>
      <dgm:spPr/>
    </dgm:pt>
    <dgm:pt modelId="{173F2A3C-3A38-4E17-8ECA-561CC38C7116}">
      <dgm:prSet phldrT="[Text]" custT="1"/>
      <dgm:spPr/>
      <dgm:t>
        <a:bodyPr/>
        <a:lstStyle/>
        <a:p>
          <a:pPr>
            <a:buNone/>
          </a:pPr>
          <a:r>
            <a:rPr lang="el-GR" sz="1100" b="1"/>
            <a:t>Διάσταση Ι: </a:t>
          </a:r>
          <a:r>
            <a:rPr lang="el-GR" sz="1100" b="0"/>
            <a:t>Προστασία καταναλωτών - Άμεση άμβλυνση των προκαλούμενων</a:t>
          </a:r>
          <a:r>
            <a:rPr lang="en-US" sz="1100" b="0"/>
            <a:t> </a:t>
          </a:r>
          <a:r>
            <a:rPr lang="el-GR" sz="1100" b="0"/>
            <a:t>επιπτώσεων στα πλέον ευάλωτα νοικοκυριά</a:t>
          </a:r>
          <a:endParaRPr lang="en-US" sz="1100" b="0"/>
        </a:p>
      </dgm:t>
    </dgm:pt>
    <dgm:pt modelId="{9CEE3FA0-1EB5-42B8-8DB9-C83EE6AAF299}" type="parTrans" cxnId="{27484F13-7BAB-4421-B820-4A8AF223ED55}">
      <dgm:prSet/>
      <dgm:spPr/>
      <dgm:t>
        <a:bodyPr/>
        <a:lstStyle/>
        <a:p>
          <a:endParaRPr lang="en-US" sz="1100" b="1"/>
        </a:p>
      </dgm:t>
    </dgm:pt>
    <dgm:pt modelId="{A5F36787-0DD1-42A6-BEE3-C2190D1D7FCA}" type="sibTrans" cxnId="{27484F13-7BAB-4421-B820-4A8AF223ED55}">
      <dgm:prSet/>
      <dgm:spPr/>
      <dgm:t>
        <a:bodyPr/>
        <a:lstStyle/>
        <a:p>
          <a:endParaRPr lang="en-US" sz="1100" b="1"/>
        </a:p>
      </dgm:t>
    </dgm:pt>
    <dgm:pt modelId="{C562A0E0-A677-4B9E-8FD2-7056A6BE553C}">
      <dgm:prSet phldrT="[Text]" custT="1"/>
      <dgm:spPr/>
      <dgm:t>
        <a:bodyPr/>
        <a:lstStyle/>
        <a:p>
          <a:pPr>
            <a:buNone/>
          </a:pPr>
          <a:r>
            <a:rPr lang="el-GR" sz="1100" b="1"/>
            <a:t>Διάσταση ΙΙ: </a:t>
          </a:r>
          <a:r>
            <a:rPr lang="el-GR" sz="1100" b="0"/>
            <a:t>Αναπτυξιακή προοπτική - Δομική αντιμετώπιση της ενεργειακής ένδειας: Δράσεις για τη βελτίωση της ενεργειακής απόδοσης και την αύξηση της χρήσης ΑΠΕ</a:t>
          </a:r>
          <a:endParaRPr lang="en-US" sz="1100" b="0"/>
        </a:p>
      </dgm:t>
    </dgm:pt>
    <dgm:pt modelId="{E6D4E572-C7FD-466B-BE7D-F947A876C390}" type="parTrans" cxnId="{089F0898-23FF-42D9-9EE2-FAC99F0A2963}">
      <dgm:prSet/>
      <dgm:spPr/>
      <dgm:t>
        <a:bodyPr/>
        <a:lstStyle/>
        <a:p>
          <a:endParaRPr lang="en-US" sz="1100" b="1"/>
        </a:p>
      </dgm:t>
    </dgm:pt>
    <dgm:pt modelId="{F4060C0B-8C85-4D15-AC6E-7644BA6C08DE}" type="sibTrans" cxnId="{089F0898-23FF-42D9-9EE2-FAC99F0A2963}">
      <dgm:prSet/>
      <dgm:spPr/>
      <dgm:t>
        <a:bodyPr/>
        <a:lstStyle/>
        <a:p>
          <a:endParaRPr lang="en-US" sz="1100" b="1"/>
        </a:p>
      </dgm:t>
    </dgm:pt>
    <dgm:pt modelId="{9282BCA3-2C85-47AF-AFE9-175664768D83}">
      <dgm:prSet phldrT="[Text]" custT="1"/>
      <dgm:spPr/>
      <dgm:t>
        <a:bodyPr/>
        <a:lstStyle/>
        <a:p>
          <a:pPr>
            <a:buNone/>
          </a:pPr>
          <a:r>
            <a:rPr lang="el-GR" sz="1100" b="1"/>
            <a:t>Διάσταση ΙΙΙ: </a:t>
          </a:r>
          <a:r>
            <a:rPr lang="el-GR" sz="1100" b="0"/>
            <a:t>Δράσεις ενημέρωσης, εκπαίδευσης και συντονισμού</a:t>
          </a:r>
          <a:endParaRPr lang="en-US" sz="1100" b="0"/>
        </a:p>
      </dgm:t>
    </dgm:pt>
    <dgm:pt modelId="{53B2E723-E7CE-424F-9B9A-DF8FBF334103}" type="parTrans" cxnId="{4F2E864A-64EF-4918-9970-551C190D6CD6}">
      <dgm:prSet/>
      <dgm:spPr/>
      <dgm:t>
        <a:bodyPr/>
        <a:lstStyle/>
        <a:p>
          <a:endParaRPr lang="en-US" sz="1100" b="1"/>
        </a:p>
      </dgm:t>
    </dgm:pt>
    <dgm:pt modelId="{644164B6-932D-4127-9439-289E435828AE}" type="sibTrans" cxnId="{4F2E864A-64EF-4918-9970-551C190D6CD6}">
      <dgm:prSet/>
      <dgm:spPr/>
      <dgm:t>
        <a:bodyPr/>
        <a:lstStyle/>
        <a:p>
          <a:endParaRPr lang="en-US" sz="1100" b="1"/>
        </a:p>
      </dgm:t>
    </dgm:pt>
    <dgm:pt modelId="{D7CF3B8D-CB30-4ED5-8110-518CCBC68DF9}" type="pres">
      <dgm:prSet presAssocID="{C81AA125-2C2E-45A7-BE57-5A6B90C0B965}" presName="compositeShape" presStyleCnt="0">
        <dgm:presLayoutVars>
          <dgm:dir/>
          <dgm:resizeHandles/>
        </dgm:presLayoutVars>
      </dgm:prSet>
      <dgm:spPr/>
    </dgm:pt>
    <dgm:pt modelId="{F2949FBF-2FDC-4D94-854D-D4FF3719836D}" type="pres">
      <dgm:prSet presAssocID="{C81AA125-2C2E-45A7-BE57-5A6B90C0B965}" presName="pyramid" presStyleLbl="node1" presStyleIdx="0" presStyleCnt="1"/>
      <dgm:spPr/>
    </dgm:pt>
    <dgm:pt modelId="{F3DCB4D6-2B91-44AC-924A-FAD76195414B}" type="pres">
      <dgm:prSet presAssocID="{C81AA125-2C2E-45A7-BE57-5A6B90C0B965}" presName="theList" presStyleCnt="0"/>
      <dgm:spPr/>
    </dgm:pt>
    <dgm:pt modelId="{5F8CF2E6-0678-4369-99FD-75A276DF2E74}" type="pres">
      <dgm:prSet presAssocID="{173F2A3C-3A38-4E17-8ECA-561CC38C7116}" presName="aNode" presStyleLbl="fgAcc1" presStyleIdx="0" presStyleCnt="3">
        <dgm:presLayoutVars>
          <dgm:bulletEnabled val="1"/>
        </dgm:presLayoutVars>
      </dgm:prSet>
      <dgm:spPr/>
    </dgm:pt>
    <dgm:pt modelId="{665AAE66-05FF-4CE8-ADCA-9E7BCE770633}" type="pres">
      <dgm:prSet presAssocID="{173F2A3C-3A38-4E17-8ECA-561CC38C7116}" presName="aSpace" presStyleCnt="0"/>
      <dgm:spPr/>
    </dgm:pt>
    <dgm:pt modelId="{12986FEA-83E7-490C-BE1A-EB89CD14EB5A}" type="pres">
      <dgm:prSet presAssocID="{C562A0E0-A677-4B9E-8FD2-7056A6BE553C}" presName="aNode" presStyleLbl="fgAcc1" presStyleIdx="1" presStyleCnt="3">
        <dgm:presLayoutVars>
          <dgm:bulletEnabled val="1"/>
        </dgm:presLayoutVars>
      </dgm:prSet>
      <dgm:spPr/>
    </dgm:pt>
    <dgm:pt modelId="{9D7F7C7E-B02F-4DF2-9E90-317F7FA57EC5}" type="pres">
      <dgm:prSet presAssocID="{C562A0E0-A677-4B9E-8FD2-7056A6BE553C}" presName="aSpace" presStyleCnt="0"/>
      <dgm:spPr/>
    </dgm:pt>
    <dgm:pt modelId="{1B4C842A-2F63-49E2-A120-C0022F195E5F}" type="pres">
      <dgm:prSet presAssocID="{9282BCA3-2C85-47AF-AFE9-175664768D83}" presName="aNode" presStyleLbl="fgAcc1" presStyleIdx="2" presStyleCnt="3">
        <dgm:presLayoutVars>
          <dgm:bulletEnabled val="1"/>
        </dgm:presLayoutVars>
      </dgm:prSet>
      <dgm:spPr/>
    </dgm:pt>
    <dgm:pt modelId="{23E19836-D66F-4FF8-843B-D6A5D627A6F9}" type="pres">
      <dgm:prSet presAssocID="{9282BCA3-2C85-47AF-AFE9-175664768D83}" presName="aSpace" presStyleCnt="0"/>
      <dgm:spPr/>
    </dgm:pt>
  </dgm:ptLst>
  <dgm:cxnLst>
    <dgm:cxn modelId="{27484F13-7BAB-4421-B820-4A8AF223ED55}" srcId="{C81AA125-2C2E-45A7-BE57-5A6B90C0B965}" destId="{173F2A3C-3A38-4E17-8ECA-561CC38C7116}" srcOrd="0" destOrd="0" parTransId="{9CEE3FA0-1EB5-42B8-8DB9-C83EE6AAF299}" sibTransId="{A5F36787-0DD1-42A6-BEE3-C2190D1D7FCA}"/>
    <dgm:cxn modelId="{4F2E864A-64EF-4918-9970-551C190D6CD6}" srcId="{C81AA125-2C2E-45A7-BE57-5A6B90C0B965}" destId="{9282BCA3-2C85-47AF-AFE9-175664768D83}" srcOrd="2" destOrd="0" parTransId="{53B2E723-E7CE-424F-9B9A-DF8FBF334103}" sibTransId="{644164B6-932D-4127-9439-289E435828AE}"/>
    <dgm:cxn modelId="{AEF1A64F-8F33-4E67-B011-F8470D535AC1}" type="presOf" srcId="{C562A0E0-A677-4B9E-8FD2-7056A6BE553C}" destId="{12986FEA-83E7-490C-BE1A-EB89CD14EB5A}" srcOrd="0" destOrd="0" presId="urn:microsoft.com/office/officeart/2005/8/layout/pyramid2"/>
    <dgm:cxn modelId="{B84CE871-40BD-431C-9C5C-CEFA36E75545}" type="presOf" srcId="{9282BCA3-2C85-47AF-AFE9-175664768D83}" destId="{1B4C842A-2F63-49E2-A120-C0022F195E5F}" srcOrd="0" destOrd="0" presId="urn:microsoft.com/office/officeart/2005/8/layout/pyramid2"/>
    <dgm:cxn modelId="{645EC772-418E-49F3-A8D5-CFBFB8BB6BDD}" type="presOf" srcId="{173F2A3C-3A38-4E17-8ECA-561CC38C7116}" destId="{5F8CF2E6-0678-4369-99FD-75A276DF2E74}" srcOrd="0" destOrd="0" presId="urn:microsoft.com/office/officeart/2005/8/layout/pyramid2"/>
    <dgm:cxn modelId="{089F0898-23FF-42D9-9EE2-FAC99F0A2963}" srcId="{C81AA125-2C2E-45A7-BE57-5A6B90C0B965}" destId="{C562A0E0-A677-4B9E-8FD2-7056A6BE553C}" srcOrd="1" destOrd="0" parTransId="{E6D4E572-C7FD-466B-BE7D-F947A876C390}" sibTransId="{F4060C0B-8C85-4D15-AC6E-7644BA6C08DE}"/>
    <dgm:cxn modelId="{868B21E1-3E70-477E-9960-931BE24E0272}" type="presOf" srcId="{C81AA125-2C2E-45A7-BE57-5A6B90C0B965}" destId="{D7CF3B8D-CB30-4ED5-8110-518CCBC68DF9}" srcOrd="0" destOrd="0" presId="urn:microsoft.com/office/officeart/2005/8/layout/pyramid2"/>
    <dgm:cxn modelId="{8E34D137-567B-45CB-82D4-8F22D81B3B57}" type="presParOf" srcId="{D7CF3B8D-CB30-4ED5-8110-518CCBC68DF9}" destId="{F2949FBF-2FDC-4D94-854D-D4FF3719836D}" srcOrd="0" destOrd="0" presId="urn:microsoft.com/office/officeart/2005/8/layout/pyramid2"/>
    <dgm:cxn modelId="{E7E35AC9-850F-496D-91EC-926BBC037D1A}" type="presParOf" srcId="{D7CF3B8D-CB30-4ED5-8110-518CCBC68DF9}" destId="{F3DCB4D6-2B91-44AC-924A-FAD76195414B}" srcOrd="1" destOrd="0" presId="urn:microsoft.com/office/officeart/2005/8/layout/pyramid2"/>
    <dgm:cxn modelId="{67DF090E-92B4-4F5F-BD04-5434066FA397}" type="presParOf" srcId="{F3DCB4D6-2B91-44AC-924A-FAD76195414B}" destId="{5F8CF2E6-0678-4369-99FD-75A276DF2E74}" srcOrd="0" destOrd="0" presId="urn:microsoft.com/office/officeart/2005/8/layout/pyramid2"/>
    <dgm:cxn modelId="{648B7BE6-3A1E-4ECE-B9D9-039A240BDFF6}" type="presParOf" srcId="{F3DCB4D6-2B91-44AC-924A-FAD76195414B}" destId="{665AAE66-05FF-4CE8-ADCA-9E7BCE770633}" srcOrd="1" destOrd="0" presId="urn:microsoft.com/office/officeart/2005/8/layout/pyramid2"/>
    <dgm:cxn modelId="{324711D9-FC0C-47E2-9D1C-E83F2986A5B9}" type="presParOf" srcId="{F3DCB4D6-2B91-44AC-924A-FAD76195414B}" destId="{12986FEA-83E7-490C-BE1A-EB89CD14EB5A}" srcOrd="2" destOrd="0" presId="urn:microsoft.com/office/officeart/2005/8/layout/pyramid2"/>
    <dgm:cxn modelId="{4A977E5A-4CA4-4AC6-A919-BF0512C6E14B}" type="presParOf" srcId="{F3DCB4D6-2B91-44AC-924A-FAD76195414B}" destId="{9D7F7C7E-B02F-4DF2-9E90-317F7FA57EC5}" srcOrd="3" destOrd="0" presId="urn:microsoft.com/office/officeart/2005/8/layout/pyramid2"/>
    <dgm:cxn modelId="{B5113857-0631-4ECD-976E-2A432BCD6623}" type="presParOf" srcId="{F3DCB4D6-2B91-44AC-924A-FAD76195414B}" destId="{1B4C842A-2F63-49E2-A120-C0022F195E5F}" srcOrd="4" destOrd="0" presId="urn:microsoft.com/office/officeart/2005/8/layout/pyramid2"/>
    <dgm:cxn modelId="{CBC827E6-5599-43A0-9A8B-C46E9AC30163}" type="presParOf" srcId="{F3DCB4D6-2B91-44AC-924A-FAD76195414B}" destId="{23E19836-D66F-4FF8-843B-D6A5D627A6F9}" srcOrd="5" destOrd="0" presId="urn:microsoft.com/office/officeart/2005/8/layout/pyramid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4BEFA5-FC41-4133-9CBB-315EA3FF5989}" type="doc">
      <dgm:prSet loTypeId="urn:microsoft.com/office/officeart/2005/8/layout/lProcess2" loCatId="list" qsTypeId="urn:microsoft.com/office/officeart/2005/8/quickstyle/simple1" qsCatId="simple" csTypeId="urn:microsoft.com/office/officeart/2005/8/colors/colorful1" csCatId="colorful" phldr="1"/>
      <dgm:spPr/>
      <dgm:t>
        <a:bodyPr/>
        <a:lstStyle/>
        <a:p>
          <a:endParaRPr lang="el-GR"/>
        </a:p>
      </dgm:t>
    </dgm:pt>
    <dgm:pt modelId="{5F751FC8-4988-4329-B42C-4CC4B492DC3D}">
      <dgm:prSet phldrT="[Κείμενο]"/>
      <dgm:spPr/>
      <dgm:t>
        <a:bodyPr/>
        <a:lstStyle/>
        <a:p>
          <a:r>
            <a:rPr lang="en-US" b="1"/>
            <a:t>Διάσταση Ι</a:t>
          </a:r>
          <a:r>
            <a:rPr lang="el-GR" b="1"/>
            <a:t>: </a:t>
          </a:r>
          <a:endParaRPr lang="en-US" b="1"/>
        </a:p>
        <a:p>
          <a:r>
            <a:rPr lang="el-GR" b="1"/>
            <a:t>Προστασία καταναλωτών - Άμεση άμβλυνση των προκαλούμενων επιπτώσεων στα πλέον ευάλωτα νοικοκυριά</a:t>
          </a:r>
          <a:endParaRPr lang="en-US" b="1"/>
        </a:p>
        <a:p>
          <a:endParaRPr lang="el-GR"/>
        </a:p>
      </dgm:t>
    </dgm:pt>
    <dgm:pt modelId="{59B2CC30-5BF1-4A62-A9F2-2C2345166ABE}" type="parTrans" cxnId="{3676A9D0-83D3-4CC5-A710-F5D29DA29772}">
      <dgm:prSet/>
      <dgm:spPr/>
      <dgm:t>
        <a:bodyPr/>
        <a:lstStyle/>
        <a:p>
          <a:endParaRPr lang="el-GR"/>
        </a:p>
      </dgm:t>
    </dgm:pt>
    <dgm:pt modelId="{EAFF9F77-E6AB-4B84-AE90-5480DBD67DB6}" type="sibTrans" cxnId="{3676A9D0-83D3-4CC5-A710-F5D29DA29772}">
      <dgm:prSet/>
      <dgm:spPr/>
      <dgm:t>
        <a:bodyPr/>
        <a:lstStyle/>
        <a:p>
          <a:endParaRPr lang="el-GR"/>
        </a:p>
      </dgm:t>
    </dgm:pt>
    <dgm:pt modelId="{4856BE88-3FB4-41C9-BCDA-1E4482700AFF}">
      <dgm:prSet phldrT="[Κείμενο]"/>
      <dgm:spPr/>
      <dgm:t>
        <a:bodyPr/>
        <a:lstStyle/>
        <a:p>
          <a:r>
            <a:rPr lang="el-GR" b="1"/>
            <a:t>Διάσταση Ι</a:t>
          </a:r>
          <a:r>
            <a:rPr lang="en-US" b="1"/>
            <a:t>I</a:t>
          </a:r>
          <a:r>
            <a:rPr lang="el-GR" b="1"/>
            <a:t>: </a:t>
          </a:r>
          <a:endParaRPr lang="en-US" b="1"/>
        </a:p>
        <a:p>
          <a:r>
            <a:rPr lang="el-GR" b="1"/>
            <a:t>Αναπτυξιακή προοπτική - Δομική αντιμετώπιση της ενεργειακής ένδειας: Δράσεις για τη βελτίωση της ενεργειακής απόδοσης και την αύξηση της χρήσης ΑΠΕ</a:t>
          </a:r>
          <a:endParaRPr lang="el-GR"/>
        </a:p>
      </dgm:t>
    </dgm:pt>
    <dgm:pt modelId="{DBEBF054-A02A-4A33-BC70-83E86FB41CA9}" type="parTrans" cxnId="{B5C731A2-5B6A-4366-A77A-C11216F233E9}">
      <dgm:prSet/>
      <dgm:spPr/>
      <dgm:t>
        <a:bodyPr/>
        <a:lstStyle/>
        <a:p>
          <a:endParaRPr lang="el-GR"/>
        </a:p>
      </dgm:t>
    </dgm:pt>
    <dgm:pt modelId="{3735F460-A304-4944-A983-B5621A5C880D}" type="sibTrans" cxnId="{B5C731A2-5B6A-4366-A77A-C11216F233E9}">
      <dgm:prSet/>
      <dgm:spPr/>
      <dgm:t>
        <a:bodyPr/>
        <a:lstStyle/>
        <a:p>
          <a:endParaRPr lang="el-GR"/>
        </a:p>
      </dgm:t>
    </dgm:pt>
    <dgm:pt modelId="{6B168045-0565-4DD4-A092-22CA41699793}">
      <dgm:prSet phldrT="[Κείμενο]"/>
      <dgm:spPr/>
      <dgm:t>
        <a:bodyPr/>
        <a:lstStyle/>
        <a:p>
          <a:r>
            <a:rPr lang="el-GR" b="1"/>
            <a:t>Αξιοποίηση του θεσμού Κοινοτήτων Ανανεώσιμης Ενέργειας και Κοινοτήτων Πολιτών για την αντιμετώπιση της ενεργειακής ένδειας</a:t>
          </a:r>
          <a:endParaRPr lang="el-GR"/>
        </a:p>
      </dgm:t>
    </dgm:pt>
    <dgm:pt modelId="{0F4C0BB5-334A-4AC6-9D76-58599A950EA1}" type="parTrans" cxnId="{FD2C379B-5ABC-495B-93B2-14BCFC54C5BF}">
      <dgm:prSet/>
      <dgm:spPr/>
      <dgm:t>
        <a:bodyPr/>
        <a:lstStyle/>
        <a:p>
          <a:endParaRPr lang="el-GR"/>
        </a:p>
      </dgm:t>
    </dgm:pt>
    <dgm:pt modelId="{9E980153-4D04-440F-8B8E-409DBA632B2A}" type="sibTrans" cxnId="{FD2C379B-5ABC-495B-93B2-14BCFC54C5BF}">
      <dgm:prSet/>
      <dgm:spPr/>
      <dgm:t>
        <a:bodyPr/>
        <a:lstStyle/>
        <a:p>
          <a:endParaRPr lang="el-GR"/>
        </a:p>
      </dgm:t>
    </dgm:pt>
    <dgm:pt modelId="{9EEA7D53-0B13-49D2-A663-8F0EFB2E1902}">
      <dgm:prSet phldrT="[Κείμενο]"/>
      <dgm:spPr/>
      <dgm:t>
        <a:bodyPr/>
        <a:lstStyle/>
        <a:p>
          <a:r>
            <a:rPr lang="el-GR" b="1"/>
            <a:t>Διάσταση Ι</a:t>
          </a:r>
          <a:r>
            <a:rPr lang="en-US" b="1"/>
            <a:t>II</a:t>
          </a:r>
          <a:r>
            <a:rPr lang="el-GR" b="1"/>
            <a:t>: </a:t>
          </a:r>
          <a:endParaRPr lang="en-US" b="1"/>
        </a:p>
        <a:p>
          <a:r>
            <a:rPr lang="el-GR" b="1"/>
            <a:t>Δράσεις ενημέρωσης, εκπαίδευσης και συντονισμού</a:t>
          </a:r>
          <a:endParaRPr lang="el-GR"/>
        </a:p>
      </dgm:t>
    </dgm:pt>
    <dgm:pt modelId="{2B7B899E-68E1-4593-B029-F09FD1AA3F1F}" type="parTrans" cxnId="{8F02947E-FFBA-4B8B-88A1-47030BD5ECE0}">
      <dgm:prSet/>
      <dgm:spPr/>
      <dgm:t>
        <a:bodyPr/>
        <a:lstStyle/>
        <a:p>
          <a:endParaRPr lang="el-GR"/>
        </a:p>
      </dgm:t>
    </dgm:pt>
    <dgm:pt modelId="{2D8DED91-EB1E-41EB-AE70-58E34BEA5846}" type="sibTrans" cxnId="{8F02947E-FFBA-4B8B-88A1-47030BD5ECE0}">
      <dgm:prSet/>
      <dgm:spPr/>
      <dgm:t>
        <a:bodyPr/>
        <a:lstStyle/>
        <a:p>
          <a:endParaRPr lang="el-GR"/>
        </a:p>
      </dgm:t>
    </dgm:pt>
    <dgm:pt modelId="{6EBD8632-3C86-4303-B8CE-E7A0FDC1C956}">
      <dgm:prSet/>
      <dgm:spPr/>
      <dgm:t>
        <a:bodyPr/>
        <a:lstStyle/>
        <a:p>
          <a:pPr>
            <a:buNone/>
          </a:pPr>
          <a:r>
            <a:rPr lang="el-GR" b="1"/>
            <a:t>Σχήμα κοινωνικού τιμολογίου και μετριασμός επιπτώσεων από την κρίση του κόστους ενέργειας</a:t>
          </a:r>
          <a:endParaRPr lang="el-GR"/>
        </a:p>
      </dgm:t>
    </dgm:pt>
    <dgm:pt modelId="{202BD7EE-B018-4F70-A57C-347B9C76853E}" type="parTrans" cxnId="{9E1A17C0-95CA-4EF2-8BC2-5CCE36F28980}">
      <dgm:prSet/>
      <dgm:spPr/>
      <dgm:t>
        <a:bodyPr/>
        <a:lstStyle/>
        <a:p>
          <a:endParaRPr lang="el-GR"/>
        </a:p>
      </dgm:t>
    </dgm:pt>
    <dgm:pt modelId="{2FDFB0C6-312E-48D0-B7A3-FE8E0034BE81}" type="sibTrans" cxnId="{9E1A17C0-95CA-4EF2-8BC2-5CCE36F28980}">
      <dgm:prSet/>
      <dgm:spPr/>
      <dgm:t>
        <a:bodyPr/>
        <a:lstStyle/>
        <a:p>
          <a:endParaRPr lang="el-GR"/>
        </a:p>
      </dgm:t>
    </dgm:pt>
    <dgm:pt modelId="{D9F841A7-D690-4779-8B60-4AE688094327}">
      <dgm:prSet/>
      <dgm:spPr/>
      <dgm:t>
        <a:bodyPr/>
        <a:lstStyle/>
        <a:p>
          <a:pPr>
            <a:buNone/>
          </a:pPr>
          <a:r>
            <a:rPr lang="el-GR" b="1"/>
            <a:t>Δέσμη κανονιστικών μέτρων για την προστασία των πληττόμενων νοικοκυριών</a:t>
          </a:r>
          <a:endParaRPr lang="el-GR"/>
        </a:p>
      </dgm:t>
    </dgm:pt>
    <dgm:pt modelId="{556EFC6C-595A-4677-9527-915E4575CC6F}" type="parTrans" cxnId="{AC8BF2A4-7731-4AF6-9C8F-F81FE1349B7C}">
      <dgm:prSet/>
      <dgm:spPr/>
      <dgm:t>
        <a:bodyPr/>
        <a:lstStyle/>
        <a:p>
          <a:endParaRPr lang="el-GR"/>
        </a:p>
      </dgm:t>
    </dgm:pt>
    <dgm:pt modelId="{017ADF39-54DB-4774-A99F-569600E89E83}" type="sibTrans" cxnId="{AC8BF2A4-7731-4AF6-9C8F-F81FE1349B7C}">
      <dgm:prSet/>
      <dgm:spPr/>
      <dgm:t>
        <a:bodyPr/>
        <a:lstStyle/>
        <a:p>
          <a:endParaRPr lang="el-GR"/>
        </a:p>
      </dgm:t>
    </dgm:pt>
    <dgm:pt modelId="{985E708C-7F34-4DF0-893A-A50C02CBF9D4}">
      <dgm:prSet/>
      <dgm:spPr/>
      <dgm:t>
        <a:bodyPr/>
        <a:lstStyle/>
        <a:p>
          <a:r>
            <a:rPr lang="el-GR" b="1"/>
            <a:t>Ενεργειακή αναβάθμιση κτιρίων κατοικίας των πληττόμενων νοικοκυριών και προώθηση εγκατάστασης συστημάτων ΑΠΕ για την κάλυψη των ενεργειακών αναγκών τους</a:t>
          </a:r>
          <a:endParaRPr lang="el-GR"/>
        </a:p>
      </dgm:t>
    </dgm:pt>
    <dgm:pt modelId="{AC3BFADA-7C6E-42A3-89CD-763AE1F720C7}" type="parTrans" cxnId="{FD19D5CF-50D4-4068-BDA5-0B5A2695E397}">
      <dgm:prSet/>
      <dgm:spPr/>
      <dgm:t>
        <a:bodyPr/>
        <a:lstStyle/>
        <a:p>
          <a:endParaRPr lang="el-GR"/>
        </a:p>
      </dgm:t>
    </dgm:pt>
    <dgm:pt modelId="{296DE138-68E0-47E6-AC3D-73CA1DB9196D}" type="sibTrans" cxnId="{FD19D5CF-50D4-4068-BDA5-0B5A2695E397}">
      <dgm:prSet/>
      <dgm:spPr/>
      <dgm:t>
        <a:bodyPr/>
        <a:lstStyle/>
        <a:p>
          <a:endParaRPr lang="el-GR"/>
        </a:p>
      </dgm:t>
    </dgm:pt>
    <dgm:pt modelId="{680810BB-DACF-4239-AC7D-5EC09850A330}">
      <dgm:prSet/>
      <dgm:spPr/>
      <dgm:t>
        <a:bodyPr/>
        <a:lstStyle/>
        <a:p>
          <a:r>
            <a:rPr lang="el-GR" b="1"/>
            <a:t>Καινοτόμα χρηματοδοτικά εργαλεία για την υλοποίηση δράσεων βελτίωσης της ενεργειακής απόδοσης σε ενεργειακά φτωχά νοικοκυριά </a:t>
          </a:r>
          <a:endParaRPr lang="el-GR"/>
        </a:p>
      </dgm:t>
    </dgm:pt>
    <dgm:pt modelId="{79CE2921-5AD0-48FC-A137-049A55FD347B}" type="parTrans" cxnId="{1A612120-B8A2-401A-89D3-8D6D0E90AB7D}">
      <dgm:prSet/>
      <dgm:spPr/>
      <dgm:t>
        <a:bodyPr/>
        <a:lstStyle/>
        <a:p>
          <a:endParaRPr lang="el-GR"/>
        </a:p>
      </dgm:t>
    </dgm:pt>
    <dgm:pt modelId="{89624443-626A-4215-AA25-8D0B5F0997E0}" type="sibTrans" cxnId="{1A612120-B8A2-401A-89D3-8D6D0E90AB7D}">
      <dgm:prSet/>
      <dgm:spPr/>
      <dgm:t>
        <a:bodyPr/>
        <a:lstStyle/>
        <a:p>
          <a:endParaRPr lang="el-GR"/>
        </a:p>
      </dgm:t>
    </dgm:pt>
    <dgm:pt modelId="{AF7DAD75-D28F-4276-912A-F7F35F99CE85}">
      <dgm:prSet/>
      <dgm:spPr/>
      <dgm:t>
        <a:bodyPr/>
        <a:lstStyle/>
        <a:p>
          <a:r>
            <a:rPr lang="el-GR" b="1"/>
            <a:t>Ίδρυση Υπηρεσιών Μιας Στάσης</a:t>
          </a:r>
          <a:endParaRPr lang="el-GR"/>
        </a:p>
      </dgm:t>
    </dgm:pt>
    <dgm:pt modelId="{B41E8C16-9D45-4439-8876-1EE93E34B839}" type="parTrans" cxnId="{D764EB3A-A4BB-4935-8255-7EC85AED2FE8}">
      <dgm:prSet/>
      <dgm:spPr/>
      <dgm:t>
        <a:bodyPr/>
        <a:lstStyle/>
        <a:p>
          <a:endParaRPr lang="el-GR"/>
        </a:p>
      </dgm:t>
    </dgm:pt>
    <dgm:pt modelId="{FB475E11-C148-4AFD-9C0A-E235EB123723}" type="sibTrans" cxnId="{D764EB3A-A4BB-4935-8255-7EC85AED2FE8}">
      <dgm:prSet/>
      <dgm:spPr/>
      <dgm:t>
        <a:bodyPr/>
        <a:lstStyle/>
        <a:p>
          <a:endParaRPr lang="el-GR"/>
        </a:p>
      </dgm:t>
    </dgm:pt>
    <dgm:pt modelId="{85AC0DDC-E485-4A81-BCC8-72BE498580FA}">
      <dgm:prSet phldrT="[Κείμενο]"/>
      <dgm:spPr/>
      <dgm:t>
        <a:bodyPr/>
        <a:lstStyle/>
        <a:p>
          <a:r>
            <a:rPr lang="el-GR" b="1"/>
            <a:t>Δράσεις Ενημέρωσης</a:t>
          </a:r>
        </a:p>
      </dgm:t>
    </dgm:pt>
    <dgm:pt modelId="{393CDEC0-A07D-456C-9646-CE761CE4F8C0}" type="sibTrans" cxnId="{0AD916B2-404D-4E71-8B5D-0BFA14A6ACAB}">
      <dgm:prSet/>
      <dgm:spPr/>
      <dgm:t>
        <a:bodyPr/>
        <a:lstStyle/>
        <a:p>
          <a:endParaRPr lang="el-GR"/>
        </a:p>
      </dgm:t>
    </dgm:pt>
    <dgm:pt modelId="{2EA97A26-D3BF-4D69-BE96-B55608D03E79}" type="parTrans" cxnId="{0AD916B2-404D-4E71-8B5D-0BFA14A6ACAB}">
      <dgm:prSet/>
      <dgm:spPr/>
      <dgm:t>
        <a:bodyPr/>
        <a:lstStyle/>
        <a:p>
          <a:endParaRPr lang="el-GR"/>
        </a:p>
      </dgm:t>
    </dgm:pt>
    <dgm:pt modelId="{A8B29341-5744-447F-9620-A10CEC244FD8}" type="pres">
      <dgm:prSet presAssocID="{4A4BEFA5-FC41-4133-9CBB-315EA3FF5989}" presName="theList" presStyleCnt="0">
        <dgm:presLayoutVars>
          <dgm:dir/>
          <dgm:animLvl val="lvl"/>
          <dgm:resizeHandles val="exact"/>
        </dgm:presLayoutVars>
      </dgm:prSet>
      <dgm:spPr/>
    </dgm:pt>
    <dgm:pt modelId="{81709861-8DC2-4A93-BAFB-0EB3DFA5866D}" type="pres">
      <dgm:prSet presAssocID="{5F751FC8-4988-4329-B42C-4CC4B492DC3D}" presName="compNode" presStyleCnt="0"/>
      <dgm:spPr/>
    </dgm:pt>
    <dgm:pt modelId="{C64F6C3B-D145-4AAB-A995-CE064A152E4E}" type="pres">
      <dgm:prSet presAssocID="{5F751FC8-4988-4329-B42C-4CC4B492DC3D}" presName="aNode" presStyleLbl="bgShp" presStyleIdx="0" presStyleCnt="3"/>
      <dgm:spPr/>
    </dgm:pt>
    <dgm:pt modelId="{B3131983-3BD3-496D-936A-6BC306AF7B04}" type="pres">
      <dgm:prSet presAssocID="{5F751FC8-4988-4329-B42C-4CC4B492DC3D}" presName="textNode" presStyleLbl="bgShp" presStyleIdx="0" presStyleCnt="3"/>
      <dgm:spPr/>
    </dgm:pt>
    <dgm:pt modelId="{C0351A72-2398-409A-A43F-C1C5B4ECC06A}" type="pres">
      <dgm:prSet presAssocID="{5F751FC8-4988-4329-B42C-4CC4B492DC3D}" presName="compChildNode" presStyleCnt="0"/>
      <dgm:spPr/>
    </dgm:pt>
    <dgm:pt modelId="{4BCBD4A1-E186-4C88-AEA3-CCEA4C9C2B16}" type="pres">
      <dgm:prSet presAssocID="{5F751FC8-4988-4329-B42C-4CC4B492DC3D}" presName="theInnerList" presStyleCnt="0"/>
      <dgm:spPr/>
    </dgm:pt>
    <dgm:pt modelId="{C4B67423-651B-4986-9AE9-A439573CEBB8}" type="pres">
      <dgm:prSet presAssocID="{D9F841A7-D690-4779-8B60-4AE688094327}" presName="childNode" presStyleLbl="node1" presStyleIdx="0" presStyleCnt="7">
        <dgm:presLayoutVars>
          <dgm:bulletEnabled val="1"/>
        </dgm:presLayoutVars>
      </dgm:prSet>
      <dgm:spPr/>
    </dgm:pt>
    <dgm:pt modelId="{80506149-975E-4A06-9A28-A6F741F031E5}" type="pres">
      <dgm:prSet presAssocID="{D9F841A7-D690-4779-8B60-4AE688094327}" presName="aSpace2" presStyleCnt="0"/>
      <dgm:spPr/>
    </dgm:pt>
    <dgm:pt modelId="{DB9CAC00-8A4C-42CC-BF5A-B7D2CE4AC34C}" type="pres">
      <dgm:prSet presAssocID="{6EBD8632-3C86-4303-B8CE-E7A0FDC1C956}" presName="childNode" presStyleLbl="node1" presStyleIdx="1" presStyleCnt="7">
        <dgm:presLayoutVars>
          <dgm:bulletEnabled val="1"/>
        </dgm:presLayoutVars>
      </dgm:prSet>
      <dgm:spPr/>
    </dgm:pt>
    <dgm:pt modelId="{4825291F-C9A8-4B7A-A529-3E78969F1C9A}" type="pres">
      <dgm:prSet presAssocID="{5F751FC8-4988-4329-B42C-4CC4B492DC3D}" presName="aSpace" presStyleCnt="0"/>
      <dgm:spPr/>
    </dgm:pt>
    <dgm:pt modelId="{8A4861D5-0602-4012-BA97-6AC6E2E24619}" type="pres">
      <dgm:prSet presAssocID="{4856BE88-3FB4-41C9-BCDA-1E4482700AFF}" presName="compNode" presStyleCnt="0"/>
      <dgm:spPr/>
    </dgm:pt>
    <dgm:pt modelId="{B9E7B0CB-5BE8-499F-84D7-93A71ACA13D6}" type="pres">
      <dgm:prSet presAssocID="{4856BE88-3FB4-41C9-BCDA-1E4482700AFF}" presName="aNode" presStyleLbl="bgShp" presStyleIdx="1" presStyleCnt="3"/>
      <dgm:spPr/>
    </dgm:pt>
    <dgm:pt modelId="{60888174-3B42-4C56-A5AB-BF0F721388D0}" type="pres">
      <dgm:prSet presAssocID="{4856BE88-3FB4-41C9-BCDA-1E4482700AFF}" presName="textNode" presStyleLbl="bgShp" presStyleIdx="1" presStyleCnt="3"/>
      <dgm:spPr/>
    </dgm:pt>
    <dgm:pt modelId="{6769ACB6-A1C8-45A6-9922-8F6AD9489907}" type="pres">
      <dgm:prSet presAssocID="{4856BE88-3FB4-41C9-BCDA-1E4482700AFF}" presName="compChildNode" presStyleCnt="0"/>
      <dgm:spPr/>
    </dgm:pt>
    <dgm:pt modelId="{78248945-611C-4D62-B562-F050C81AD308}" type="pres">
      <dgm:prSet presAssocID="{4856BE88-3FB4-41C9-BCDA-1E4482700AFF}" presName="theInnerList" presStyleCnt="0"/>
      <dgm:spPr/>
    </dgm:pt>
    <dgm:pt modelId="{E809D37C-CB34-4718-8740-4C647515BBAE}" type="pres">
      <dgm:prSet presAssocID="{6B168045-0565-4DD4-A092-22CA41699793}" presName="childNode" presStyleLbl="node1" presStyleIdx="2" presStyleCnt="7">
        <dgm:presLayoutVars>
          <dgm:bulletEnabled val="1"/>
        </dgm:presLayoutVars>
      </dgm:prSet>
      <dgm:spPr/>
    </dgm:pt>
    <dgm:pt modelId="{4FAB9D7D-8CEF-421E-BB86-D7C4414E6C78}" type="pres">
      <dgm:prSet presAssocID="{6B168045-0565-4DD4-A092-22CA41699793}" presName="aSpace2" presStyleCnt="0"/>
      <dgm:spPr/>
    </dgm:pt>
    <dgm:pt modelId="{0E664171-CE94-468A-BCCE-BC10CF6B38A3}" type="pres">
      <dgm:prSet presAssocID="{985E708C-7F34-4DF0-893A-A50C02CBF9D4}" presName="childNode" presStyleLbl="node1" presStyleIdx="3" presStyleCnt="7">
        <dgm:presLayoutVars>
          <dgm:bulletEnabled val="1"/>
        </dgm:presLayoutVars>
      </dgm:prSet>
      <dgm:spPr/>
    </dgm:pt>
    <dgm:pt modelId="{08458296-65BE-4C7C-A7FB-5421CDAF2069}" type="pres">
      <dgm:prSet presAssocID="{985E708C-7F34-4DF0-893A-A50C02CBF9D4}" presName="aSpace2" presStyleCnt="0"/>
      <dgm:spPr/>
    </dgm:pt>
    <dgm:pt modelId="{62158DE6-B1B6-4A24-9814-8B2F41E14EF8}" type="pres">
      <dgm:prSet presAssocID="{680810BB-DACF-4239-AC7D-5EC09850A330}" presName="childNode" presStyleLbl="node1" presStyleIdx="4" presStyleCnt="7">
        <dgm:presLayoutVars>
          <dgm:bulletEnabled val="1"/>
        </dgm:presLayoutVars>
      </dgm:prSet>
      <dgm:spPr/>
    </dgm:pt>
    <dgm:pt modelId="{3FF59F86-F63D-4EDD-AB7A-0F182EC08670}" type="pres">
      <dgm:prSet presAssocID="{4856BE88-3FB4-41C9-BCDA-1E4482700AFF}" presName="aSpace" presStyleCnt="0"/>
      <dgm:spPr/>
    </dgm:pt>
    <dgm:pt modelId="{F7B5A1B0-FA7C-4B9F-B396-8807B25C5600}" type="pres">
      <dgm:prSet presAssocID="{9EEA7D53-0B13-49D2-A663-8F0EFB2E1902}" presName="compNode" presStyleCnt="0"/>
      <dgm:spPr/>
    </dgm:pt>
    <dgm:pt modelId="{644D6786-134A-4412-8412-211295385ACC}" type="pres">
      <dgm:prSet presAssocID="{9EEA7D53-0B13-49D2-A663-8F0EFB2E1902}" presName="aNode" presStyleLbl="bgShp" presStyleIdx="2" presStyleCnt="3"/>
      <dgm:spPr/>
    </dgm:pt>
    <dgm:pt modelId="{2743EDBF-9871-460C-9B03-48AACDD54E9E}" type="pres">
      <dgm:prSet presAssocID="{9EEA7D53-0B13-49D2-A663-8F0EFB2E1902}" presName="textNode" presStyleLbl="bgShp" presStyleIdx="2" presStyleCnt="3"/>
      <dgm:spPr/>
    </dgm:pt>
    <dgm:pt modelId="{94704A3B-CF44-4E9E-8AB8-4DC66F59A9D4}" type="pres">
      <dgm:prSet presAssocID="{9EEA7D53-0B13-49D2-A663-8F0EFB2E1902}" presName="compChildNode" presStyleCnt="0"/>
      <dgm:spPr/>
    </dgm:pt>
    <dgm:pt modelId="{C2993020-85BF-43E1-9B87-D763A70598A3}" type="pres">
      <dgm:prSet presAssocID="{9EEA7D53-0B13-49D2-A663-8F0EFB2E1902}" presName="theInnerList" presStyleCnt="0"/>
      <dgm:spPr/>
    </dgm:pt>
    <dgm:pt modelId="{97594D20-D06A-42C1-B2AD-C9CB9E8B236A}" type="pres">
      <dgm:prSet presAssocID="{85AC0DDC-E485-4A81-BCC8-72BE498580FA}" presName="childNode" presStyleLbl="node1" presStyleIdx="5" presStyleCnt="7">
        <dgm:presLayoutVars>
          <dgm:bulletEnabled val="1"/>
        </dgm:presLayoutVars>
      </dgm:prSet>
      <dgm:spPr/>
    </dgm:pt>
    <dgm:pt modelId="{5FD3C7B7-EFC4-43BD-8B53-D84978A8BBAB}" type="pres">
      <dgm:prSet presAssocID="{85AC0DDC-E485-4A81-BCC8-72BE498580FA}" presName="aSpace2" presStyleCnt="0"/>
      <dgm:spPr/>
    </dgm:pt>
    <dgm:pt modelId="{CA9F981F-344A-434E-86A8-121119853E46}" type="pres">
      <dgm:prSet presAssocID="{AF7DAD75-D28F-4276-912A-F7F35F99CE85}" presName="childNode" presStyleLbl="node1" presStyleIdx="6" presStyleCnt="7">
        <dgm:presLayoutVars>
          <dgm:bulletEnabled val="1"/>
        </dgm:presLayoutVars>
      </dgm:prSet>
      <dgm:spPr/>
    </dgm:pt>
  </dgm:ptLst>
  <dgm:cxnLst>
    <dgm:cxn modelId="{1A612120-B8A2-401A-89D3-8D6D0E90AB7D}" srcId="{4856BE88-3FB4-41C9-BCDA-1E4482700AFF}" destId="{680810BB-DACF-4239-AC7D-5EC09850A330}" srcOrd="2" destOrd="0" parTransId="{79CE2921-5AD0-48FC-A137-049A55FD347B}" sibTransId="{89624443-626A-4215-AA25-8D0B5F0997E0}"/>
    <dgm:cxn modelId="{7EE4AF32-802F-4BFA-AED5-6F738A70139E}" type="presOf" srcId="{680810BB-DACF-4239-AC7D-5EC09850A330}" destId="{62158DE6-B1B6-4A24-9814-8B2F41E14EF8}" srcOrd="0" destOrd="0" presId="urn:microsoft.com/office/officeart/2005/8/layout/lProcess2"/>
    <dgm:cxn modelId="{D764EB3A-A4BB-4935-8255-7EC85AED2FE8}" srcId="{9EEA7D53-0B13-49D2-A663-8F0EFB2E1902}" destId="{AF7DAD75-D28F-4276-912A-F7F35F99CE85}" srcOrd="1" destOrd="0" parTransId="{B41E8C16-9D45-4439-8876-1EE93E34B839}" sibTransId="{FB475E11-C148-4AFD-9C0A-E235EB123723}"/>
    <dgm:cxn modelId="{BB3BAF61-8349-4DCC-93CC-63245D8FE238}" type="presOf" srcId="{AF7DAD75-D28F-4276-912A-F7F35F99CE85}" destId="{CA9F981F-344A-434E-86A8-121119853E46}" srcOrd="0" destOrd="0" presId="urn:microsoft.com/office/officeart/2005/8/layout/lProcess2"/>
    <dgm:cxn modelId="{9BE8C266-77FB-4808-BC00-3B5DC8E0F11E}" type="presOf" srcId="{D9F841A7-D690-4779-8B60-4AE688094327}" destId="{C4B67423-651B-4986-9AE9-A439573CEBB8}" srcOrd="0" destOrd="0" presId="urn:microsoft.com/office/officeart/2005/8/layout/lProcess2"/>
    <dgm:cxn modelId="{9DF9094A-CB98-41F2-AC05-4CE5E45CC0C7}" type="presOf" srcId="{6B168045-0565-4DD4-A092-22CA41699793}" destId="{E809D37C-CB34-4718-8740-4C647515BBAE}" srcOrd="0" destOrd="0" presId="urn:microsoft.com/office/officeart/2005/8/layout/lProcess2"/>
    <dgm:cxn modelId="{65F0394A-9EE2-4768-BD3E-F971F50A01F0}" type="presOf" srcId="{85AC0DDC-E485-4A81-BCC8-72BE498580FA}" destId="{97594D20-D06A-42C1-B2AD-C9CB9E8B236A}" srcOrd="0" destOrd="0" presId="urn:microsoft.com/office/officeart/2005/8/layout/lProcess2"/>
    <dgm:cxn modelId="{2E74596E-7BE2-4F11-98CA-E8CA65D0D52B}" type="presOf" srcId="{6EBD8632-3C86-4303-B8CE-E7A0FDC1C956}" destId="{DB9CAC00-8A4C-42CC-BF5A-B7D2CE4AC34C}" srcOrd="0" destOrd="0" presId="urn:microsoft.com/office/officeart/2005/8/layout/lProcess2"/>
    <dgm:cxn modelId="{A58BCC53-6EF6-4E1E-97E6-F9508CB604E9}" type="presOf" srcId="{4856BE88-3FB4-41C9-BCDA-1E4482700AFF}" destId="{B9E7B0CB-5BE8-499F-84D7-93A71ACA13D6}" srcOrd="0" destOrd="0" presId="urn:microsoft.com/office/officeart/2005/8/layout/lProcess2"/>
    <dgm:cxn modelId="{8F02947E-FFBA-4B8B-88A1-47030BD5ECE0}" srcId="{4A4BEFA5-FC41-4133-9CBB-315EA3FF5989}" destId="{9EEA7D53-0B13-49D2-A663-8F0EFB2E1902}" srcOrd="2" destOrd="0" parTransId="{2B7B899E-68E1-4593-B029-F09FD1AA3F1F}" sibTransId="{2D8DED91-EB1E-41EB-AE70-58E34BEA5846}"/>
    <dgm:cxn modelId="{FD2C379B-5ABC-495B-93B2-14BCFC54C5BF}" srcId="{4856BE88-3FB4-41C9-BCDA-1E4482700AFF}" destId="{6B168045-0565-4DD4-A092-22CA41699793}" srcOrd="0" destOrd="0" parTransId="{0F4C0BB5-334A-4AC6-9D76-58599A950EA1}" sibTransId="{9E980153-4D04-440F-8B8E-409DBA632B2A}"/>
    <dgm:cxn modelId="{B5C731A2-5B6A-4366-A77A-C11216F233E9}" srcId="{4A4BEFA5-FC41-4133-9CBB-315EA3FF5989}" destId="{4856BE88-3FB4-41C9-BCDA-1E4482700AFF}" srcOrd="1" destOrd="0" parTransId="{DBEBF054-A02A-4A33-BC70-83E86FB41CA9}" sibTransId="{3735F460-A304-4944-A983-B5621A5C880D}"/>
    <dgm:cxn modelId="{C7A3C1A4-96D5-4E55-83A3-4B183426BF52}" type="presOf" srcId="{5F751FC8-4988-4329-B42C-4CC4B492DC3D}" destId="{C64F6C3B-D145-4AAB-A995-CE064A152E4E}" srcOrd="0" destOrd="0" presId="urn:microsoft.com/office/officeart/2005/8/layout/lProcess2"/>
    <dgm:cxn modelId="{AC8BF2A4-7731-4AF6-9C8F-F81FE1349B7C}" srcId="{5F751FC8-4988-4329-B42C-4CC4B492DC3D}" destId="{D9F841A7-D690-4779-8B60-4AE688094327}" srcOrd="0" destOrd="0" parTransId="{556EFC6C-595A-4677-9527-915E4575CC6F}" sibTransId="{017ADF39-54DB-4774-A99F-569600E89E83}"/>
    <dgm:cxn modelId="{7F50E8AD-2240-42B8-809D-ECFEA53882E0}" type="presOf" srcId="{5F751FC8-4988-4329-B42C-4CC4B492DC3D}" destId="{B3131983-3BD3-496D-936A-6BC306AF7B04}" srcOrd="1" destOrd="0" presId="urn:microsoft.com/office/officeart/2005/8/layout/lProcess2"/>
    <dgm:cxn modelId="{7B0090AF-FC5C-4B63-8B4B-E268F415C673}" type="presOf" srcId="{4A4BEFA5-FC41-4133-9CBB-315EA3FF5989}" destId="{A8B29341-5744-447F-9620-A10CEC244FD8}" srcOrd="0" destOrd="0" presId="urn:microsoft.com/office/officeart/2005/8/layout/lProcess2"/>
    <dgm:cxn modelId="{C705E3B0-3FB5-4BB8-B00F-FD7377AD4464}" type="presOf" srcId="{9EEA7D53-0B13-49D2-A663-8F0EFB2E1902}" destId="{2743EDBF-9871-460C-9B03-48AACDD54E9E}" srcOrd="1" destOrd="0" presId="urn:microsoft.com/office/officeart/2005/8/layout/lProcess2"/>
    <dgm:cxn modelId="{0AD916B2-404D-4E71-8B5D-0BFA14A6ACAB}" srcId="{9EEA7D53-0B13-49D2-A663-8F0EFB2E1902}" destId="{85AC0DDC-E485-4A81-BCC8-72BE498580FA}" srcOrd="0" destOrd="0" parTransId="{2EA97A26-D3BF-4D69-BE96-B55608D03E79}" sibTransId="{393CDEC0-A07D-456C-9646-CE761CE4F8C0}"/>
    <dgm:cxn modelId="{9E1A17C0-95CA-4EF2-8BC2-5CCE36F28980}" srcId="{5F751FC8-4988-4329-B42C-4CC4B492DC3D}" destId="{6EBD8632-3C86-4303-B8CE-E7A0FDC1C956}" srcOrd="1" destOrd="0" parTransId="{202BD7EE-B018-4F70-A57C-347B9C76853E}" sibTransId="{2FDFB0C6-312E-48D0-B7A3-FE8E0034BE81}"/>
    <dgm:cxn modelId="{7C5542C4-A42A-46BA-B598-1754CB7001CE}" type="presOf" srcId="{9EEA7D53-0B13-49D2-A663-8F0EFB2E1902}" destId="{644D6786-134A-4412-8412-211295385ACC}" srcOrd="0" destOrd="0" presId="urn:microsoft.com/office/officeart/2005/8/layout/lProcess2"/>
    <dgm:cxn modelId="{FD19D5CF-50D4-4068-BDA5-0B5A2695E397}" srcId="{4856BE88-3FB4-41C9-BCDA-1E4482700AFF}" destId="{985E708C-7F34-4DF0-893A-A50C02CBF9D4}" srcOrd="1" destOrd="0" parTransId="{AC3BFADA-7C6E-42A3-89CD-763AE1F720C7}" sibTransId="{296DE138-68E0-47E6-AC3D-73CA1DB9196D}"/>
    <dgm:cxn modelId="{3676A9D0-83D3-4CC5-A710-F5D29DA29772}" srcId="{4A4BEFA5-FC41-4133-9CBB-315EA3FF5989}" destId="{5F751FC8-4988-4329-B42C-4CC4B492DC3D}" srcOrd="0" destOrd="0" parTransId="{59B2CC30-5BF1-4A62-A9F2-2C2345166ABE}" sibTransId="{EAFF9F77-E6AB-4B84-AE90-5480DBD67DB6}"/>
    <dgm:cxn modelId="{23C838E7-8EC9-40A2-A3D5-470A483D86EA}" type="presOf" srcId="{985E708C-7F34-4DF0-893A-A50C02CBF9D4}" destId="{0E664171-CE94-468A-BCCE-BC10CF6B38A3}" srcOrd="0" destOrd="0" presId="urn:microsoft.com/office/officeart/2005/8/layout/lProcess2"/>
    <dgm:cxn modelId="{9BE18DEF-A5DA-42EB-88EF-C3AE0339DCBB}" type="presOf" srcId="{4856BE88-3FB4-41C9-BCDA-1E4482700AFF}" destId="{60888174-3B42-4C56-A5AB-BF0F721388D0}" srcOrd="1" destOrd="0" presId="urn:microsoft.com/office/officeart/2005/8/layout/lProcess2"/>
    <dgm:cxn modelId="{AD991335-C970-40E5-9C27-B5C334126FBC}" type="presParOf" srcId="{A8B29341-5744-447F-9620-A10CEC244FD8}" destId="{81709861-8DC2-4A93-BAFB-0EB3DFA5866D}" srcOrd="0" destOrd="0" presId="urn:microsoft.com/office/officeart/2005/8/layout/lProcess2"/>
    <dgm:cxn modelId="{0BB84EE7-B563-4C40-96C4-4B529B1E8B97}" type="presParOf" srcId="{81709861-8DC2-4A93-BAFB-0EB3DFA5866D}" destId="{C64F6C3B-D145-4AAB-A995-CE064A152E4E}" srcOrd="0" destOrd="0" presId="urn:microsoft.com/office/officeart/2005/8/layout/lProcess2"/>
    <dgm:cxn modelId="{D5D15FCC-732A-4975-A0C6-185502842077}" type="presParOf" srcId="{81709861-8DC2-4A93-BAFB-0EB3DFA5866D}" destId="{B3131983-3BD3-496D-936A-6BC306AF7B04}" srcOrd="1" destOrd="0" presId="urn:microsoft.com/office/officeart/2005/8/layout/lProcess2"/>
    <dgm:cxn modelId="{87E90E60-B23A-45C5-9AE1-0625969D8215}" type="presParOf" srcId="{81709861-8DC2-4A93-BAFB-0EB3DFA5866D}" destId="{C0351A72-2398-409A-A43F-C1C5B4ECC06A}" srcOrd="2" destOrd="0" presId="urn:microsoft.com/office/officeart/2005/8/layout/lProcess2"/>
    <dgm:cxn modelId="{DAE9B174-C601-448C-B05B-3EE2ECC0B6A1}" type="presParOf" srcId="{C0351A72-2398-409A-A43F-C1C5B4ECC06A}" destId="{4BCBD4A1-E186-4C88-AEA3-CCEA4C9C2B16}" srcOrd="0" destOrd="0" presId="urn:microsoft.com/office/officeart/2005/8/layout/lProcess2"/>
    <dgm:cxn modelId="{DFC3B376-424B-411C-8B36-1A2C1F216796}" type="presParOf" srcId="{4BCBD4A1-E186-4C88-AEA3-CCEA4C9C2B16}" destId="{C4B67423-651B-4986-9AE9-A439573CEBB8}" srcOrd="0" destOrd="0" presId="urn:microsoft.com/office/officeart/2005/8/layout/lProcess2"/>
    <dgm:cxn modelId="{53CF9740-D655-42F6-8107-D008BDA1E395}" type="presParOf" srcId="{4BCBD4A1-E186-4C88-AEA3-CCEA4C9C2B16}" destId="{80506149-975E-4A06-9A28-A6F741F031E5}" srcOrd="1" destOrd="0" presId="urn:microsoft.com/office/officeart/2005/8/layout/lProcess2"/>
    <dgm:cxn modelId="{76F4EBBF-21BE-4646-9942-F6130FD98BF3}" type="presParOf" srcId="{4BCBD4A1-E186-4C88-AEA3-CCEA4C9C2B16}" destId="{DB9CAC00-8A4C-42CC-BF5A-B7D2CE4AC34C}" srcOrd="2" destOrd="0" presId="urn:microsoft.com/office/officeart/2005/8/layout/lProcess2"/>
    <dgm:cxn modelId="{6E3F7E8C-1873-4F8D-A799-E41D3402A4CE}" type="presParOf" srcId="{A8B29341-5744-447F-9620-A10CEC244FD8}" destId="{4825291F-C9A8-4B7A-A529-3E78969F1C9A}" srcOrd="1" destOrd="0" presId="urn:microsoft.com/office/officeart/2005/8/layout/lProcess2"/>
    <dgm:cxn modelId="{A5D81CD5-570F-4C11-AD6C-264E5575DA5A}" type="presParOf" srcId="{A8B29341-5744-447F-9620-A10CEC244FD8}" destId="{8A4861D5-0602-4012-BA97-6AC6E2E24619}" srcOrd="2" destOrd="0" presId="urn:microsoft.com/office/officeart/2005/8/layout/lProcess2"/>
    <dgm:cxn modelId="{84B558E2-6AD8-4607-989D-0EF1E9B56FC7}" type="presParOf" srcId="{8A4861D5-0602-4012-BA97-6AC6E2E24619}" destId="{B9E7B0CB-5BE8-499F-84D7-93A71ACA13D6}" srcOrd="0" destOrd="0" presId="urn:microsoft.com/office/officeart/2005/8/layout/lProcess2"/>
    <dgm:cxn modelId="{101AF936-6F55-4C24-B0FE-3EA117CB7FEF}" type="presParOf" srcId="{8A4861D5-0602-4012-BA97-6AC6E2E24619}" destId="{60888174-3B42-4C56-A5AB-BF0F721388D0}" srcOrd="1" destOrd="0" presId="urn:microsoft.com/office/officeart/2005/8/layout/lProcess2"/>
    <dgm:cxn modelId="{BD42AD73-A23E-4E95-BB70-C7FE64A22DF6}" type="presParOf" srcId="{8A4861D5-0602-4012-BA97-6AC6E2E24619}" destId="{6769ACB6-A1C8-45A6-9922-8F6AD9489907}" srcOrd="2" destOrd="0" presId="urn:microsoft.com/office/officeart/2005/8/layout/lProcess2"/>
    <dgm:cxn modelId="{73ED8766-1BF4-4DC2-A800-C735AADEABB5}" type="presParOf" srcId="{6769ACB6-A1C8-45A6-9922-8F6AD9489907}" destId="{78248945-611C-4D62-B562-F050C81AD308}" srcOrd="0" destOrd="0" presId="urn:microsoft.com/office/officeart/2005/8/layout/lProcess2"/>
    <dgm:cxn modelId="{462DF288-EA51-47DB-BBBF-F7DCB0706467}" type="presParOf" srcId="{78248945-611C-4D62-B562-F050C81AD308}" destId="{E809D37C-CB34-4718-8740-4C647515BBAE}" srcOrd="0" destOrd="0" presId="urn:microsoft.com/office/officeart/2005/8/layout/lProcess2"/>
    <dgm:cxn modelId="{43123326-B443-4515-B250-9B53023A2410}" type="presParOf" srcId="{78248945-611C-4D62-B562-F050C81AD308}" destId="{4FAB9D7D-8CEF-421E-BB86-D7C4414E6C78}" srcOrd="1" destOrd="0" presId="urn:microsoft.com/office/officeart/2005/8/layout/lProcess2"/>
    <dgm:cxn modelId="{E5588F19-579C-4DF1-9D5C-DF115DBC4F0B}" type="presParOf" srcId="{78248945-611C-4D62-B562-F050C81AD308}" destId="{0E664171-CE94-468A-BCCE-BC10CF6B38A3}" srcOrd="2" destOrd="0" presId="urn:microsoft.com/office/officeart/2005/8/layout/lProcess2"/>
    <dgm:cxn modelId="{531C70C3-39E9-4500-AA0A-9B5E7778259A}" type="presParOf" srcId="{78248945-611C-4D62-B562-F050C81AD308}" destId="{08458296-65BE-4C7C-A7FB-5421CDAF2069}" srcOrd="3" destOrd="0" presId="urn:microsoft.com/office/officeart/2005/8/layout/lProcess2"/>
    <dgm:cxn modelId="{0C7F499A-5AB8-483D-B571-5FBECBEA9494}" type="presParOf" srcId="{78248945-611C-4D62-B562-F050C81AD308}" destId="{62158DE6-B1B6-4A24-9814-8B2F41E14EF8}" srcOrd="4" destOrd="0" presId="urn:microsoft.com/office/officeart/2005/8/layout/lProcess2"/>
    <dgm:cxn modelId="{7B36E677-CFD0-4A3B-AFD7-CA1F2B230225}" type="presParOf" srcId="{A8B29341-5744-447F-9620-A10CEC244FD8}" destId="{3FF59F86-F63D-4EDD-AB7A-0F182EC08670}" srcOrd="3" destOrd="0" presId="urn:microsoft.com/office/officeart/2005/8/layout/lProcess2"/>
    <dgm:cxn modelId="{4B75D077-13C0-42F7-8003-9D1AC9DEE27D}" type="presParOf" srcId="{A8B29341-5744-447F-9620-A10CEC244FD8}" destId="{F7B5A1B0-FA7C-4B9F-B396-8807B25C5600}" srcOrd="4" destOrd="0" presId="urn:microsoft.com/office/officeart/2005/8/layout/lProcess2"/>
    <dgm:cxn modelId="{920021E8-3CE3-464C-8E3B-0DA7274B7FF7}" type="presParOf" srcId="{F7B5A1B0-FA7C-4B9F-B396-8807B25C5600}" destId="{644D6786-134A-4412-8412-211295385ACC}" srcOrd="0" destOrd="0" presId="urn:microsoft.com/office/officeart/2005/8/layout/lProcess2"/>
    <dgm:cxn modelId="{664972B6-0A84-4A7C-89F9-B417502814B3}" type="presParOf" srcId="{F7B5A1B0-FA7C-4B9F-B396-8807B25C5600}" destId="{2743EDBF-9871-460C-9B03-48AACDD54E9E}" srcOrd="1" destOrd="0" presId="urn:microsoft.com/office/officeart/2005/8/layout/lProcess2"/>
    <dgm:cxn modelId="{96FC2684-75B2-4968-BE1C-6B7EF08BFCF2}" type="presParOf" srcId="{F7B5A1B0-FA7C-4B9F-B396-8807B25C5600}" destId="{94704A3B-CF44-4E9E-8AB8-4DC66F59A9D4}" srcOrd="2" destOrd="0" presId="urn:microsoft.com/office/officeart/2005/8/layout/lProcess2"/>
    <dgm:cxn modelId="{0411F3FD-A111-4122-A632-B7D950D5049C}" type="presParOf" srcId="{94704A3B-CF44-4E9E-8AB8-4DC66F59A9D4}" destId="{C2993020-85BF-43E1-9B87-D763A70598A3}" srcOrd="0" destOrd="0" presId="urn:microsoft.com/office/officeart/2005/8/layout/lProcess2"/>
    <dgm:cxn modelId="{5BADBA2F-F352-409F-9207-7CFF3D5E0B73}" type="presParOf" srcId="{C2993020-85BF-43E1-9B87-D763A70598A3}" destId="{97594D20-D06A-42C1-B2AD-C9CB9E8B236A}" srcOrd="0" destOrd="0" presId="urn:microsoft.com/office/officeart/2005/8/layout/lProcess2"/>
    <dgm:cxn modelId="{5C421A0A-CBD4-4F88-84B6-74FF4BE2AB78}" type="presParOf" srcId="{C2993020-85BF-43E1-9B87-D763A70598A3}" destId="{5FD3C7B7-EFC4-43BD-8B53-D84978A8BBAB}" srcOrd="1" destOrd="0" presId="urn:microsoft.com/office/officeart/2005/8/layout/lProcess2"/>
    <dgm:cxn modelId="{F774AF53-5554-45D6-AD45-343529815E2C}" type="presParOf" srcId="{C2993020-85BF-43E1-9B87-D763A70598A3}" destId="{CA9F981F-344A-434E-86A8-121119853E46}" srcOrd="2"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27CC005-B47D-4EF0-AD81-04067A86F7DE}" type="doc">
      <dgm:prSet loTypeId="urn:microsoft.com/office/officeart/2009/3/layout/OpposingIdeas" loCatId="relationship" qsTypeId="urn:microsoft.com/office/officeart/2005/8/quickstyle/simple1" qsCatId="simple" csTypeId="urn:microsoft.com/office/officeart/2005/8/colors/accent1_2" csCatId="accent1" phldr="1"/>
      <dgm:spPr/>
      <dgm:t>
        <a:bodyPr/>
        <a:lstStyle/>
        <a:p>
          <a:endParaRPr lang="en-US"/>
        </a:p>
      </dgm:t>
    </dgm:pt>
    <dgm:pt modelId="{8B67D96E-C808-4D6D-893B-5A5BA6F9C33E}">
      <dgm:prSet phldrT="[Text]" custT="1"/>
      <dgm:spPr/>
      <dgm:t>
        <a:bodyPr/>
        <a:lstStyle/>
        <a:p>
          <a:pPr algn="ctr"/>
          <a:r>
            <a:rPr lang="el-GR" sz="1100" b="1"/>
            <a:t>"από τη βάση στην κορυφή" παρακολούθηση</a:t>
          </a:r>
          <a:endParaRPr lang="en-US" sz="1100" b="1"/>
        </a:p>
      </dgm:t>
    </dgm:pt>
    <dgm:pt modelId="{7C87656A-3BC1-44C4-88B7-B1E67CCBEC06}" type="parTrans" cxnId="{3383E8FC-8418-4B59-B4F7-E4AAA2EE8C96}">
      <dgm:prSet/>
      <dgm:spPr/>
      <dgm:t>
        <a:bodyPr/>
        <a:lstStyle/>
        <a:p>
          <a:endParaRPr lang="en-US" sz="1100"/>
        </a:p>
      </dgm:t>
    </dgm:pt>
    <dgm:pt modelId="{FD5B49B4-3419-4398-AC6E-BFADB10868B8}" type="sibTrans" cxnId="{3383E8FC-8418-4B59-B4F7-E4AAA2EE8C96}">
      <dgm:prSet/>
      <dgm:spPr/>
      <dgm:t>
        <a:bodyPr/>
        <a:lstStyle/>
        <a:p>
          <a:endParaRPr lang="en-US" sz="1100"/>
        </a:p>
      </dgm:t>
    </dgm:pt>
    <dgm:pt modelId="{13908651-780F-4D4F-AB4F-7C8E0652767C}">
      <dgm:prSet phldrT="[Text]" custT="1"/>
      <dgm:spPr/>
      <dgm:t>
        <a:bodyPr anchor="ctr" anchorCtr="0"/>
        <a:lstStyle/>
        <a:p>
          <a:pPr algn="ctr"/>
          <a:r>
            <a:rPr lang="el-GR" sz="1100" b="1">
              <a:solidFill>
                <a:schemeClr val="bg1"/>
              </a:solidFill>
            </a:rPr>
            <a:t>Διαδικασία ελέγχου συμμόρφωσης με τις Συνθήκες</a:t>
          </a:r>
          <a:r>
            <a:rPr lang="en-US" sz="1100" b="1">
              <a:solidFill>
                <a:schemeClr val="bg1"/>
              </a:solidFill>
            </a:rPr>
            <a:t> </a:t>
          </a:r>
          <a:r>
            <a:rPr lang="el-GR" sz="1100" b="1">
              <a:solidFill>
                <a:schemeClr val="bg1"/>
              </a:solidFill>
            </a:rPr>
            <a:t>του Δείκτη Ι-ΙΙ</a:t>
          </a:r>
          <a:r>
            <a:rPr lang="el-GR" sz="1100" b="1" baseline="-25000">
              <a:solidFill>
                <a:schemeClr val="bg1"/>
              </a:solidFill>
            </a:rPr>
            <a:t>2025</a:t>
          </a:r>
          <a:endParaRPr lang="en-US" sz="1100" b="1" baseline="-25000">
            <a:solidFill>
              <a:schemeClr val="bg1"/>
            </a:solidFill>
          </a:endParaRPr>
        </a:p>
      </dgm:t>
    </dgm:pt>
    <dgm:pt modelId="{9C71171A-E7AE-48D9-8104-09455EC94797}" type="parTrans" cxnId="{9A159FD6-8CE3-40F8-B14C-1D08340AA2E2}">
      <dgm:prSet/>
      <dgm:spPr/>
      <dgm:t>
        <a:bodyPr/>
        <a:lstStyle/>
        <a:p>
          <a:endParaRPr lang="en-US" sz="1100"/>
        </a:p>
      </dgm:t>
    </dgm:pt>
    <dgm:pt modelId="{C269ED8E-23E5-4E4C-8920-3D11A55DBFB0}" type="sibTrans" cxnId="{9A159FD6-8CE3-40F8-B14C-1D08340AA2E2}">
      <dgm:prSet/>
      <dgm:spPr/>
      <dgm:t>
        <a:bodyPr/>
        <a:lstStyle/>
        <a:p>
          <a:endParaRPr lang="en-US" sz="1100"/>
        </a:p>
      </dgm:t>
    </dgm:pt>
    <dgm:pt modelId="{8A6873E8-D3B1-4B52-8C73-19D8E4153F27}">
      <dgm:prSet phldrT="[Text]" custT="1"/>
      <dgm:spPr/>
      <dgm:t>
        <a:bodyPr/>
        <a:lstStyle/>
        <a:p>
          <a:pPr algn="ctr"/>
          <a:r>
            <a:rPr lang="el-GR" sz="1100" b="1"/>
            <a:t>"από την κορυφή στη βάση" παρακολούθηση</a:t>
          </a:r>
          <a:endParaRPr lang="en-US" sz="1100"/>
        </a:p>
      </dgm:t>
    </dgm:pt>
    <dgm:pt modelId="{A1D70193-EA05-4F3A-B5B7-E48156A39FE0}" type="parTrans" cxnId="{7E7B49DB-3550-48B4-8F53-30B0CD3C8468}">
      <dgm:prSet/>
      <dgm:spPr/>
      <dgm:t>
        <a:bodyPr/>
        <a:lstStyle/>
        <a:p>
          <a:endParaRPr lang="en-US" sz="1100"/>
        </a:p>
      </dgm:t>
    </dgm:pt>
    <dgm:pt modelId="{00B36D79-F662-4DD4-9171-09E990DFE3AB}" type="sibTrans" cxnId="{7E7B49DB-3550-48B4-8F53-30B0CD3C8468}">
      <dgm:prSet/>
      <dgm:spPr/>
      <dgm:t>
        <a:bodyPr/>
        <a:lstStyle/>
        <a:p>
          <a:endParaRPr lang="en-US" sz="1100"/>
        </a:p>
      </dgm:t>
    </dgm:pt>
    <dgm:pt modelId="{125C8E97-70C3-427F-ACA6-54896EDCAF6D}">
      <dgm:prSet phldrT="[Text]" custT="1"/>
      <dgm:spPr/>
      <dgm:t>
        <a:bodyPr anchor="ctr" anchorCtr="0"/>
        <a:lstStyle/>
        <a:p>
          <a:pPr algn="ctr"/>
          <a:r>
            <a:rPr lang="el-GR" sz="1100" b="1">
              <a:solidFill>
                <a:schemeClr val="bg1"/>
              </a:solidFill>
            </a:rPr>
            <a:t>Εθνικό Παρατηρητήριο Ενεργειακής Ένδειας</a:t>
          </a:r>
          <a:endParaRPr lang="en-US" sz="1100" b="1">
            <a:solidFill>
              <a:schemeClr val="bg1"/>
            </a:solidFill>
          </a:endParaRPr>
        </a:p>
      </dgm:t>
    </dgm:pt>
    <dgm:pt modelId="{F61556FA-AA87-4D94-AB35-14BF93C1B126}" type="parTrans" cxnId="{1AC16FDC-CDCA-4870-8E79-66E8357390B7}">
      <dgm:prSet/>
      <dgm:spPr/>
      <dgm:t>
        <a:bodyPr/>
        <a:lstStyle/>
        <a:p>
          <a:endParaRPr lang="en-US" sz="1100"/>
        </a:p>
      </dgm:t>
    </dgm:pt>
    <dgm:pt modelId="{4C0A6A3B-D7BA-4E0E-8D08-23DB93C1C29D}" type="sibTrans" cxnId="{1AC16FDC-CDCA-4870-8E79-66E8357390B7}">
      <dgm:prSet/>
      <dgm:spPr/>
      <dgm:t>
        <a:bodyPr/>
        <a:lstStyle/>
        <a:p>
          <a:endParaRPr lang="en-US" sz="1100"/>
        </a:p>
      </dgm:t>
    </dgm:pt>
    <dgm:pt modelId="{C0894C10-FDF1-4549-89A4-689A0D7DCDB9}" type="pres">
      <dgm:prSet presAssocID="{E27CC005-B47D-4EF0-AD81-04067A86F7DE}" presName="Name0" presStyleCnt="0">
        <dgm:presLayoutVars>
          <dgm:chMax val="2"/>
          <dgm:dir/>
          <dgm:animOne val="branch"/>
          <dgm:animLvl val="lvl"/>
          <dgm:resizeHandles val="exact"/>
        </dgm:presLayoutVars>
      </dgm:prSet>
      <dgm:spPr/>
    </dgm:pt>
    <dgm:pt modelId="{E6A3C132-BB89-4AB4-B870-2667B11D4A51}" type="pres">
      <dgm:prSet presAssocID="{E27CC005-B47D-4EF0-AD81-04067A86F7DE}" presName="Background" presStyleLbl="node1" presStyleIdx="0" presStyleCnt="1"/>
      <dgm:spPr/>
    </dgm:pt>
    <dgm:pt modelId="{CF9FFBB8-28B8-46F1-8EC8-E28118F1413E}" type="pres">
      <dgm:prSet presAssocID="{E27CC005-B47D-4EF0-AD81-04067A86F7DE}" presName="Divider" presStyleLbl="callout" presStyleIdx="0" presStyleCnt="1"/>
      <dgm:spPr/>
    </dgm:pt>
    <dgm:pt modelId="{8A187DA7-F65F-43ED-AF70-8048F2876CC0}" type="pres">
      <dgm:prSet presAssocID="{E27CC005-B47D-4EF0-AD81-04067A86F7DE}" presName="ChildText1" presStyleLbl="revTx" presStyleIdx="0" presStyleCnt="0">
        <dgm:presLayoutVars>
          <dgm:chMax val="0"/>
          <dgm:chPref val="0"/>
          <dgm:bulletEnabled val="1"/>
        </dgm:presLayoutVars>
      </dgm:prSet>
      <dgm:spPr/>
    </dgm:pt>
    <dgm:pt modelId="{8DE40588-22F3-4AFA-93C3-C5F76E4779AC}" type="pres">
      <dgm:prSet presAssocID="{E27CC005-B47D-4EF0-AD81-04067A86F7DE}" presName="ChildText2" presStyleLbl="revTx" presStyleIdx="0" presStyleCnt="0">
        <dgm:presLayoutVars>
          <dgm:chMax val="0"/>
          <dgm:chPref val="0"/>
          <dgm:bulletEnabled val="1"/>
        </dgm:presLayoutVars>
      </dgm:prSet>
      <dgm:spPr/>
    </dgm:pt>
    <dgm:pt modelId="{28389A1B-A05D-4F7A-A35C-B30FB353AD9D}" type="pres">
      <dgm:prSet presAssocID="{E27CC005-B47D-4EF0-AD81-04067A86F7DE}" presName="ParentText1" presStyleLbl="revTx" presStyleIdx="0" presStyleCnt="0">
        <dgm:presLayoutVars>
          <dgm:chMax val="1"/>
          <dgm:chPref val="1"/>
        </dgm:presLayoutVars>
      </dgm:prSet>
      <dgm:spPr/>
    </dgm:pt>
    <dgm:pt modelId="{C50C6AE7-3657-4C77-97E2-58DA6D23ABE8}" type="pres">
      <dgm:prSet presAssocID="{E27CC005-B47D-4EF0-AD81-04067A86F7DE}" presName="ParentShape1" presStyleLbl="alignImgPlace1" presStyleIdx="0" presStyleCnt="2">
        <dgm:presLayoutVars/>
      </dgm:prSet>
      <dgm:spPr/>
    </dgm:pt>
    <dgm:pt modelId="{906AF99B-3CD5-45DD-A031-01C7B083D521}" type="pres">
      <dgm:prSet presAssocID="{E27CC005-B47D-4EF0-AD81-04067A86F7DE}" presName="ParentText2" presStyleLbl="revTx" presStyleIdx="0" presStyleCnt="0">
        <dgm:presLayoutVars>
          <dgm:chMax val="1"/>
          <dgm:chPref val="1"/>
        </dgm:presLayoutVars>
      </dgm:prSet>
      <dgm:spPr/>
    </dgm:pt>
    <dgm:pt modelId="{EC32803D-F7F8-4227-B0A5-0EA35970985B}" type="pres">
      <dgm:prSet presAssocID="{E27CC005-B47D-4EF0-AD81-04067A86F7DE}" presName="ParentShape2" presStyleLbl="alignImgPlace1" presStyleIdx="1" presStyleCnt="2">
        <dgm:presLayoutVars/>
      </dgm:prSet>
      <dgm:spPr/>
    </dgm:pt>
  </dgm:ptLst>
  <dgm:cxnLst>
    <dgm:cxn modelId="{B49EC346-BA41-4DE6-861F-670BDFDB2BBF}" type="presOf" srcId="{125C8E97-70C3-427F-ACA6-54896EDCAF6D}" destId="{8DE40588-22F3-4AFA-93C3-C5F76E4779AC}" srcOrd="0" destOrd="0" presId="urn:microsoft.com/office/officeart/2009/3/layout/OpposingIdeas"/>
    <dgm:cxn modelId="{B457996B-031A-48B7-8BFB-36E3473FFD35}" type="presOf" srcId="{13908651-780F-4D4F-AB4F-7C8E0652767C}" destId="{8A187DA7-F65F-43ED-AF70-8048F2876CC0}" srcOrd="0" destOrd="0" presId="urn:microsoft.com/office/officeart/2009/3/layout/OpposingIdeas"/>
    <dgm:cxn modelId="{1DDC1A85-C235-4FB1-89B3-38F8AB640D86}" type="presOf" srcId="{8B67D96E-C808-4D6D-893B-5A5BA6F9C33E}" destId="{28389A1B-A05D-4F7A-A35C-B30FB353AD9D}" srcOrd="0" destOrd="0" presId="urn:microsoft.com/office/officeart/2009/3/layout/OpposingIdeas"/>
    <dgm:cxn modelId="{46692FAC-5A7E-4941-A401-1897E27B8FD0}" type="presOf" srcId="{E27CC005-B47D-4EF0-AD81-04067A86F7DE}" destId="{C0894C10-FDF1-4549-89A4-689A0D7DCDB9}" srcOrd="0" destOrd="0" presId="urn:microsoft.com/office/officeart/2009/3/layout/OpposingIdeas"/>
    <dgm:cxn modelId="{96B951AD-9E73-4BB8-B9C5-85C198906320}" type="presOf" srcId="{8A6873E8-D3B1-4B52-8C73-19D8E4153F27}" destId="{EC32803D-F7F8-4227-B0A5-0EA35970985B}" srcOrd="1" destOrd="0" presId="urn:microsoft.com/office/officeart/2009/3/layout/OpposingIdeas"/>
    <dgm:cxn modelId="{26DF3ABE-F504-4A1E-9C89-97505742B7B1}" type="presOf" srcId="{8B67D96E-C808-4D6D-893B-5A5BA6F9C33E}" destId="{C50C6AE7-3657-4C77-97E2-58DA6D23ABE8}" srcOrd="1" destOrd="0" presId="urn:microsoft.com/office/officeart/2009/3/layout/OpposingIdeas"/>
    <dgm:cxn modelId="{07FC5FD1-F74F-4151-BC81-B49E0D0C065A}" type="presOf" srcId="{8A6873E8-D3B1-4B52-8C73-19D8E4153F27}" destId="{906AF99B-3CD5-45DD-A031-01C7B083D521}" srcOrd="0" destOrd="0" presId="urn:microsoft.com/office/officeart/2009/3/layout/OpposingIdeas"/>
    <dgm:cxn modelId="{9A159FD6-8CE3-40F8-B14C-1D08340AA2E2}" srcId="{8B67D96E-C808-4D6D-893B-5A5BA6F9C33E}" destId="{13908651-780F-4D4F-AB4F-7C8E0652767C}" srcOrd="0" destOrd="0" parTransId="{9C71171A-E7AE-48D9-8104-09455EC94797}" sibTransId="{C269ED8E-23E5-4E4C-8920-3D11A55DBFB0}"/>
    <dgm:cxn modelId="{7E7B49DB-3550-48B4-8F53-30B0CD3C8468}" srcId="{E27CC005-B47D-4EF0-AD81-04067A86F7DE}" destId="{8A6873E8-D3B1-4B52-8C73-19D8E4153F27}" srcOrd="1" destOrd="0" parTransId="{A1D70193-EA05-4F3A-B5B7-E48156A39FE0}" sibTransId="{00B36D79-F662-4DD4-9171-09E990DFE3AB}"/>
    <dgm:cxn modelId="{1AC16FDC-CDCA-4870-8E79-66E8357390B7}" srcId="{8A6873E8-D3B1-4B52-8C73-19D8E4153F27}" destId="{125C8E97-70C3-427F-ACA6-54896EDCAF6D}" srcOrd="0" destOrd="0" parTransId="{F61556FA-AA87-4D94-AB35-14BF93C1B126}" sibTransId="{4C0A6A3B-D7BA-4E0E-8D08-23DB93C1C29D}"/>
    <dgm:cxn modelId="{3383E8FC-8418-4B59-B4F7-E4AAA2EE8C96}" srcId="{E27CC005-B47D-4EF0-AD81-04067A86F7DE}" destId="{8B67D96E-C808-4D6D-893B-5A5BA6F9C33E}" srcOrd="0" destOrd="0" parTransId="{7C87656A-3BC1-44C4-88B7-B1E67CCBEC06}" sibTransId="{FD5B49B4-3419-4398-AC6E-BFADB10868B8}"/>
    <dgm:cxn modelId="{16F615A4-88CE-49FC-829F-AB126A73B9E0}" type="presParOf" srcId="{C0894C10-FDF1-4549-89A4-689A0D7DCDB9}" destId="{E6A3C132-BB89-4AB4-B870-2667B11D4A51}" srcOrd="0" destOrd="0" presId="urn:microsoft.com/office/officeart/2009/3/layout/OpposingIdeas"/>
    <dgm:cxn modelId="{BB9E9C35-1D04-400C-9DE3-CD82B777B35B}" type="presParOf" srcId="{C0894C10-FDF1-4549-89A4-689A0D7DCDB9}" destId="{CF9FFBB8-28B8-46F1-8EC8-E28118F1413E}" srcOrd="1" destOrd="0" presId="urn:microsoft.com/office/officeart/2009/3/layout/OpposingIdeas"/>
    <dgm:cxn modelId="{F41546F4-E875-4523-BAD4-755D584BCEE5}" type="presParOf" srcId="{C0894C10-FDF1-4549-89A4-689A0D7DCDB9}" destId="{8A187DA7-F65F-43ED-AF70-8048F2876CC0}" srcOrd="2" destOrd="0" presId="urn:microsoft.com/office/officeart/2009/3/layout/OpposingIdeas"/>
    <dgm:cxn modelId="{07F6FBFB-CF86-4A60-AC71-4D7CE33982EF}" type="presParOf" srcId="{C0894C10-FDF1-4549-89A4-689A0D7DCDB9}" destId="{8DE40588-22F3-4AFA-93C3-C5F76E4779AC}" srcOrd="3" destOrd="0" presId="urn:microsoft.com/office/officeart/2009/3/layout/OpposingIdeas"/>
    <dgm:cxn modelId="{1C6BD2E2-BC15-47CD-8ACA-053BDC8EBB75}" type="presParOf" srcId="{C0894C10-FDF1-4549-89A4-689A0D7DCDB9}" destId="{28389A1B-A05D-4F7A-A35C-B30FB353AD9D}" srcOrd="4" destOrd="0" presId="urn:microsoft.com/office/officeart/2009/3/layout/OpposingIdeas"/>
    <dgm:cxn modelId="{F8424BB5-C7F9-4224-B626-ABF44CF8B3DF}" type="presParOf" srcId="{C0894C10-FDF1-4549-89A4-689A0D7DCDB9}" destId="{C50C6AE7-3657-4C77-97E2-58DA6D23ABE8}" srcOrd="5" destOrd="0" presId="urn:microsoft.com/office/officeart/2009/3/layout/OpposingIdeas"/>
    <dgm:cxn modelId="{7E3A7003-15D3-4E28-BCAF-148EE6CBFBE4}" type="presParOf" srcId="{C0894C10-FDF1-4549-89A4-689A0D7DCDB9}" destId="{906AF99B-3CD5-45DD-A031-01C7B083D521}" srcOrd="6" destOrd="0" presId="urn:microsoft.com/office/officeart/2009/3/layout/OpposingIdeas"/>
    <dgm:cxn modelId="{2770372B-6B07-4842-A936-C0615CD86BE6}" type="presParOf" srcId="{C0894C10-FDF1-4549-89A4-689A0D7DCDB9}" destId="{EC32803D-F7F8-4227-B0A5-0EA35970985B}" srcOrd="7" destOrd="0" presId="urn:microsoft.com/office/officeart/2009/3/layout/OpposingIdeas"/>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51239-F267-4A50-9FF0-CC91E4CDAE69}">
      <dsp:nvSpPr>
        <dsp:cNvPr id="0" name=""/>
        <dsp:cNvSpPr/>
      </dsp:nvSpPr>
      <dsp:spPr>
        <a:xfrm>
          <a:off x="930" y="1010592"/>
          <a:ext cx="1501571" cy="1238482"/>
        </a:xfrm>
        <a:prstGeom prst="roundRect">
          <a:avLst>
            <a:gd name="adj" fmla="val 10000"/>
          </a:avLst>
        </a:prstGeom>
        <a:solidFill>
          <a:schemeClr val="lt1">
            <a:alpha val="90000"/>
            <a:hueOff val="0"/>
            <a:satOff val="0"/>
            <a:lumOff val="0"/>
            <a:alphaOff val="0"/>
          </a:schemeClr>
        </a:solidFill>
        <a:ln w="25400" cap="flat" cmpd="sng" algn="ctr">
          <a:solidFill>
            <a:schemeClr val="accent1">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ctr" anchorCtr="0">
          <a:noAutofit/>
        </a:bodyPr>
        <a:lstStyle/>
        <a:p>
          <a:pPr marL="57150" lvl="1" indent="-57150" algn="ctr" defTabSz="488950">
            <a:lnSpc>
              <a:spcPct val="90000"/>
            </a:lnSpc>
            <a:spcBef>
              <a:spcPct val="0"/>
            </a:spcBef>
            <a:spcAft>
              <a:spcPct val="15000"/>
            </a:spcAft>
            <a:buChar char="•"/>
          </a:pPr>
          <a:r>
            <a:rPr lang="el-GR" sz="1100" b="1" kern="1200"/>
            <a:t>Καθορισμός ως έτος βάσης αναφοράς</a:t>
          </a:r>
          <a:endParaRPr lang="en-US" sz="1100" b="1" kern="1200"/>
        </a:p>
      </dsp:txBody>
      <dsp:txXfrm>
        <a:off x="29431" y="1039093"/>
        <a:ext cx="1444569" cy="916091"/>
      </dsp:txXfrm>
    </dsp:sp>
    <dsp:sp modelId="{46E32E15-1596-4314-81D2-72E08CDDC098}">
      <dsp:nvSpPr>
        <dsp:cNvPr id="0" name=""/>
        <dsp:cNvSpPr/>
      </dsp:nvSpPr>
      <dsp:spPr>
        <a:xfrm>
          <a:off x="856359" y="1347167"/>
          <a:ext cx="1594488" cy="1594488"/>
        </a:xfrm>
        <a:prstGeom prst="leftCircularArrow">
          <a:avLst>
            <a:gd name="adj1" fmla="val 2772"/>
            <a:gd name="adj2" fmla="val 338026"/>
            <a:gd name="adj3" fmla="val 2113537"/>
            <a:gd name="adj4" fmla="val 9024489"/>
            <a:gd name="adj5" fmla="val 3234"/>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325EB9-C294-43F8-921C-FD820AA3A65F}">
      <dsp:nvSpPr>
        <dsp:cNvPr id="0" name=""/>
        <dsp:cNvSpPr/>
      </dsp:nvSpPr>
      <dsp:spPr>
        <a:xfrm>
          <a:off x="334613" y="1983685"/>
          <a:ext cx="1334730" cy="53077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l-GR" sz="1100" b="1" kern="1200"/>
            <a:t>2016</a:t>
          </a:r>
          <a:endParaRPr lang="en-US" sz="1100" b="1" kern="1200"/>
        </a:p>
      </dsp:txBody>
      <dsp:txXfrm>
        <a:off x="350159" y="1999231"/>
        <a:ext cx="1303638" cy="499686"/>
      </dsp:txXfrm>
    </dsp:sp>
    <dsp:sp modelId="{8EBB3859-D862-4903-B478-940B94CFB026}">
      <dsp:nvSpPr>
        <dsp:cNvPr id="0" name=""/>
        <dsp:cNvSpPr/>
      </dsp:nvSpPr>
      <dsp:spPr>
        <a:xfrm>
          <a:off x="1879783" y="1010592"/>
          <a:ext cx="1501571" cy="1238482"/>
        </a:xfrm>
        <a:prstGeom prst="roundRect">
          <a:avLst>
            <a:gd name="adj" fmla="val 10000"/>
          </a:avLst>
        </a:prstGeom>
        <a:solidFill>
          <a:schemeClr val="lt1">
            <a:alpha val="90000"/>
            <a:hueOff val="0"/>
            <a:satOff val="0"/>
            <a:lumOff val="0"/>
            <a:alphaOff val="0"/>
          </a:schemeClr>
        </a:solidFill>
        <a:ln w="25400" cap="flat" cmpd="sng" algn="ctr">
          <a:solidFill>
            <a:schemeClr val="accent1">
              <a:shade val="50000"/>
              <a:hueOff val="240958"/>
              <a:satOff val="-5040"/>
              <a:lumOff val="280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ctr" anchorCtr="0">
          <a:noAutofit/>
        </a:bodyPr>
        <a:lstStyle/>
        <a:p>
          <a:pPr marL="57150" lvl="1" indent="-57150" algn="ctr" defTabSz="488950">
            <a:lnSpc>
              <a:spcPct val="90000"/>
            </a:lnSpc>
            <a:spcBef>
              <a:spcPct val="0"/>
            </a:spcBef>
            <a:spcAft>
              <a:spcPct val="15000"/>
            </a:spcAft>
            <a:buChar char="•"/>
          </a:pPr>
          <a:r>
            <a:rPr lang="el-GR" sz="1100" b="1" kern="1200"/>
            <a:t>Μείωση φαινομένου ενεργειακής ένδειας κατά 50%</a:t>
          </a:r>
          <a:endParaRPr lang="en-US" sz="1100" b="1" kern="1200"/>
        </a:p>
      </dsp:txBody>
      <dsp:txXfrm>
        <a:off x="1908284" y="1304482"/>
        <a:ext cx="1444569" cy="916091"/>
      </dsp:txXfrm>
    </dsp:sp>
    <dsp:sp modelId="{F8815F3A-9DA5-497C-AA51-774B4B0191FC}">
      <dsp:nvSpPr>
        <dsp:cNvPr id="0" name=""/>
        <dsp:cNvSpPr/>
      </dsp:nvSpPr>
      <dsp:spPr>
        <a:xfrm>
          <a:off x="2722699" y="269451"/>
          <a:ext cx="1786356" cy="1786356"/>
        </a:xfrm>
        <a:prstGeom prst="circularArrow">
          <a:avLst>
            <a:gd name="adj1" fmla="val 2474"/>
            <a:gd name="adj2" fmla="val 299637"/>
            <a:gd name="adj3" fmla="val 19524852"/>
            <a:gd name="adj4" fmla="val 12575511"/>
            <a:gd name="adj5" fmla="val 2886"/>
          </a:avLst>
        </a:prstGeom>
        <a:solidFill>
          <a:schemeClr val="accent1">
            <a:shade val="90000"/>
            <a:hueOff val="375112"/>
            <a:satOff val="-6927"/>
            <a:lumOff val="3212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91BC1A-D3DF-4DFA-93BE-1DC3F2B0F358}">
      <dsp:nvSpPr>
        <dsp:cNvPr id="0" name=""/>
        <dsp:cNvSpPr/>
      </dsp:nvSpPr>
      <dsp:spPr>
        <a:xfrm>
          <a:off x="2213466" y="745203"/>
          <a:ext cx="1334730" cy="530778"/>
        </a:xfrm>
        <a:prstGeom prst="roundRect">
          <a:avLst>
            <a:gd name="adj" fmla="val 10000"/>
          </a:avLst>
        </a:prstGeom>
        <a:solidFill>
          <a:schemeClr val="accent1">
            <a:shade val="50000"/>
            <a:hueOff val="240958"/>
            <a:satOff val="-5040"/>
            <a:lumOff val="2804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l-GR" sz="1100" b="1" kern="1200"/>
            <a:t>2025</a:t>
          </a:r>
          <a:endParaRPr lang="en-US" sz="1100" b="1" kern="1200"/>
        </a:p>
      </dsp:txBody>
      <dsp:txXfrm>
        <a:off x="2229012" y="760749"/>
        <a:ext cx="1303638" cy="499686"/>
      </dsp:txXfrm>
    </dsp:sp>
    <dsp:sp modelId="{39030291-5068-4232-B23D-CC8E58D84432}">
      <dsp:nvSpPr>
        <dsp:cNvPr id="0" name=""/>
        <dsp:cNvSpPr/>
      </dsp:nvSpPr>
      <dsp:spPr>
        <a:xfrm>
          <a:off x="3758636" y="1010592"/>
          <a:ext cx="1501571" cy="1238482"/>
        </a:xfrm>
        <a:prstGeom prst="roundRect">
          <a:avLst>
            <a:gd name="adj" fmla="val 10000"/>
          </a:avLst>
        </a:prstGeom>
        <a:solidFill>
          <a:schemeClr val="lt1">
            <a:alpha val="90000"/>
            <a:hueOff val="0"/>
            <a:satOff val="0"/>
            <a:lumOff val="0"/>
            <a:alphaOff val="0"/>
          </a:schemeClr>
        </a:solidFill>
        <a:ln w="25400" cap="flat" cmpd="sng" algn="ctr">
          <a:solidFill>
            <a:schemeClr val="accent1">
              <a:shade val="50000"/>
              <a:hueOff val="240958"/>
              <a:satOff val="-5040"/>
              <a:lumOff val="280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ctr" anchorCtr="0">
          <a:noAutofit/>
        </a:bodyPr>
        <a:lstStyle/>
        <a:p>
          <a:pPr marL="57150" lvl="1" indent="-57150" algn="ctr" defTabSz="488950">
            <a:lnSpc>
              <a:spcPct val="90000"/>
            </a:lnSpc>
            <a:spcBef>
              <a:spcPct val="0"/>
            </a:spcBef>
            <a:spcAft>
              <a:spcPct val="15000"/>
            </a:spcAft>
            <a:buChar char="•"/>
          </a:pPr>
          <a:r>
            <a:rPr lang="el-GR" sz="1100" b="1" kern="1200"/>
            <a:t>Μείωση φαινομένου ενεργειακής ένδειας κατά 75%</a:t>
          </a:r>
          <a:endParaRPr lang="en-US" sz="1100" b="1" kern="1200"/>
        </a:p>
      </dsp:txBody>
      <dsp:txXfrm>
        <a:off x="3787137" y="1039093"/>
        <a:ext cx="1444569" cy="916091"/>
      </dsp:txXfrm>
    </dsp:sp>
    <dsp:sp modelId="{C3261CC0-4995-4A72-AA2B-DD30881B844E}">
      <dsp:nvSpPr>
        <dsp:cNvPr id="0" name=""/>
        <dsp:cNvSpPr/>
      </dsp:nvSpPr>
      <dsp:spPr>
        <a:xfrm>
          <a:off x="4092319" y="1983685"/>
          <a:ext cx="1334730" cy="530778"/>
        </a:xfrm>
        <a:prstGeom prst="roundRect">
          <a:avLst>
            <a:gd name="adj" fmla="val 10000"/>
          </a:avLst>
        </a:prstGeom>
        <a:solidFill>
          <a:schemeClr val="accent1">
            <a:shade val="50000"/>
            <a:hueOff val="240958"/>
            <a:satOff val="-5040"/>
            <a:lumOff val="2804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l-GR" sz="1100" b="1" kern="1200"/>
            <a:t>2030</a:t>
          </a:r>
          <a:endParaRPr lang="en-US" sz="1100" b="1" kern="1200"/>
        </a:p>
      </dsp:txBody>
      <dsp:txXfrm>
        <a:off x="4107865" y="1999231"/>
        <a:ext cx="1303638" cy="4996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949FBF-2FDC-4D94-854D-D4FF3719836D}">
      <dsp:nvSpPr>
        <dsp:cNvPr id="0" name=""/>
        <dsp:cNvSpPr/>
      </dsp:nvSpPr>
      <dsp:spPr>
        <a:xfrm>
          <a:off x="484293" y="0"/>
          <a:ext cx="3877733" cy="3877733"/>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8CF2E6-0678-4369-99FD-75A276DF2E74}">
      <dsp:nvSpPr>
        <dsp:cNvPr id="0" name=""/>
        <dsp:cNvSpPr/>
      </dsp:nvSpPr>
      <dsp:spPr>
        <a:xfrm>
          <a:off x="2423160" y="389856"/>
          <a:ext cx="2520526" cy="9179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Διάσταση Ι: </a:t>
          </a:r>
          <a:r>
            <a:rPr lang="el-GR" sz="1100" b="0" kern="1200"/>
            <a:t>Προστασία καταναλωτών - Άμεση άμβλυνση των προκαλούμενων</a:t>
          </a:r>
          <a:r>
            <a:rPr lang="en-US" sz="1100" b="0" kern="1200"/>
            <a:t> </a:t>
          </a:r>
          <a:r>
            <a:rPr lang="el-GR" sz="1100" b="0" kern="1200"/>
            <a:t>επιπτώσεων στα πλέον ευάλωτα νοικοκυριά</a:t>
          </a:r>
          <a:endParaRPr lang="en-US" sz="1100" b="0" kern="1200"/>
        </a:p>
      </dsp:txBody>
      <dsp:txXfrm>
        <a:off x="2467970" y="434666"/>
        <a:ext cx="2430906" cy="828312"/>
      </dsp:txXfrm>
    </dsp:sp>
    <dsp:sp modelId="{12986FEA-83E7-490C-BE1A-EB89CD14EB5A}">
      <dsp:nvSpPr>
        <dsp:cNvPr id="0" name=""/>
        <dsp:cNvSpPr/>
      </dsp:nvSpPr>
      <dsp:spPr>
        <a:xfrm>
          <a:off x="2423160" y="1422529"/>
          <a:ext cx="2520526" cy="9179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Διάσταση ΙΙ: </a:t>
          </a:r>
          <a:r>
            <a:rPr lang="el-GR" sz="1100" b="0" kern="1200"/>
            <a:t>Αναπτυξιακή προοπτική - Δομική αντιμετώπιση της ενεργειακής ένδειας: Δράσεις για τη βελτίωση της ενεργειακής απόδοσης και την αύξηση της χρήσης ΑΠΕ</a:t>
          </a:r>
          <a:endParaRPr lang="en-US" sz="1100" b="0" kern="1200"/>
        </a:p>
      </dsp:txBody>
      <dsp:txXfrm>
        <a:off x="2467970" y="1467339"/>
        <a:ext cx="2430906" cy="828312"/>
      </dsp:txXfrm>
    </dsp:sp>
    <dsp:sp modelId="{1B4C842A-2F63-49E2-A120-C0022F195E5F}">
      <dsp:nvSpPr>
        <dsp:cNvPr id="0" name=""/>
        <dsp:cNvSpPr/>
      </dsp:nvSpPr>
      <dsp:spPr>
        <a:xfrm>
          <a:off x="2423160" y="2455203"/>
          <a:ext cx="2520526" cy="9179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Διάσταση ΙΙΙ: </a:t>
          </a:r>
          <a:r>
            <a:rPr lang="el-GR" sz="1100" b="0" kern="1200"/>
            <a:t>Δράσεις ενημέρωσης, εκπαίδευσης και συντονισμού</a:t>
          </a:r>
          <a:endParaRPr lang="en-US" sz="1100" b="0" kern="1200"/>
        </a:p>
      </dsp:txBody>
      <dsp:txXfrm>
        <a:off x="2467970" y="2500013"/>
        <a:ext cx="2430906" cy="8283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4F6C3B-D145-4AAB-A995-CE064A152E4E}">
      <dsp:nvSpPr>
        <dsp:cNvPr id="0" name=""/>
        <dsp:cNvSpPr/>
      </dsp:nvSpPr>
      <dsp:spPr>
        <a:xfrm>
          <a:off x="719" y="0"/>
          <a:ext cx="1870474" cy="462765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Διάσταση Ι</a:t>
          </a:r>
          <a:r>
            <a:rPr lang="el-GR" sz="1100" b="1" kern="1200"/>
            <a:t>: </a:t>
          </a:r>
          <a:endParaRPr lang="en-US" sz="1100" b="1" kern="1200"/>
        </a:p>
        <a:p>
          <a:pPr marL="0" lvl="0" indent="0" algn="ctr" defTabSz="488950">
            <a:lnSpc>
              <a:spcPct val="90000"/>
            </a:lnSpc>
            <a:spcBef>
              <a:spcPct val="0"/>
            </a:spcBef>
            <a:spcAft>
              <a:spcPct val="35000"/>
            </a:spcAft>
            <a:buNone/>
          </a:pPr>
          <a:r>
            <a:rPr lang="el-GR" sz="1100" b="1" kern="1200"/>
            <a:t>Προστασία καταναλωτών - Άμεση άμβλυνση των προκαλούμενων επιπτώσεων στα πλέον ευάλωτα νοικοκυριά</a:t>
          </a:r>
          <a:endParaRPr lang="en-US" sz="1100" b="1" kern="1200"/>
        </a:p>
        <a:p>
          <a:pPr marL="0" lvl="0" indent="0" algn="ctr" defTabSz="488950">
            <a:lnSpc>
              <a:spcPct val="90000"/>
            </a:lnSpc>
            <a:spcBef>
              <a:spcPct val="0"/>
            </a:spcBef>
            <a:spcAft>
              <a:spcPct val="35000"/>
            </a:spcAft>
            <a:buNone/>
          </a:pPr>
          <a:endParaRPr lang="el-GR" sz="1100" kern="1200"/>
        </a:p>
      </dsp:txBody>
      <dsp:txXfrm>
        <a:off x="719" y="0"/>
        <a:ext cx="1870474" cy="1388297"/>
      </dsp:txXfrm>
    </dsp:sp>
    <dsp:sp modelId="{C4B67423-651B-4986-9AE9-A439573CEBB8}">
      <dsp:nvSpPr>
        <dsp:cNvPr id="0" name=""/>
        <dsp:cNvSpPr/>
      </dsp:nvSpPr>
      <dsp:spPr>
        <a:xfrm>
          <a:off x="187766" y="1389653"/>
          <a:ext cx="1496379" cy="139530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Δέσμη κανονιστικών μέτρων για την προστασία των πληττόμενων νοικοκυριών</a:t>
          </a:r>
          <a:endParaRPr lang="el-GR" sz="800" kern="1200"/>
        </a:p>
      </dsp:txBody>
      <dsp:txXfrm>
        <a:off x="228633" y="1430520"/>
        <a:ext cx="1414645" cy="1313568"/>
      </dsp:txXfrm>
    </dsp:sp>
    <dsp:sp modelId="{DB9CAC00-8A4C-42CC-BF5A-B7D2CE4AC34C}">
      <dsp:nvSpPr>
        <dsp:cNvPr id="0" name=""/>
        <dsp:cNvSpPr/>
      </dsp:nvSpPr>
      <dsp:spPr>
        <a:xfrm>
          <a:off x="187766" y="2999617"/>
          <a:ext cx="1496379" cy="139530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Σχήμα κοινωνικού τιμολογίου και μετριασμός επιπτώσεων από την κρίση του κόστους ενέργειας</a:t>
          </a:r>
          <a:endParaRPr lang="el-GR" sz="800" kern="1200"/>
        </a:p>
      </dsp:txBody>
      <dsp:txXfrm>
        <a:off x="228633" y="3040484"/>
        <a:ext cx="1414645" cy="1313568"/>
      </dsp:txXfrm>
    </dsp:sp>
    <dsp:sp modelId="{B9E7B0CB-5BE8-499F-84D7-93A71ACA13D6}">
      <dsp:nvSpPr>
        <dsp:cNvPr id="0" name=""/>
        <dsp:cNvSpPr/>
      </dsp:nvSpPr>
      <dsp:spPr>
        <a:xfrm>
          <a:off x="2011480" y="0"/>
          <a:ext cx="1870474" cy="462765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Διάσταση Ι</a:t>
          </a:r>
          <a:r>
            <a:rPr lang="en-US" sz="1100" b="1" kern="1200"/>
            <a:t>I</a:t>
          </a:r>
          <a:r>
            <a:rPr lang="el-GR" sz="1100" b="1" kern="1200"/>
            <a:t>: </a:t>
          </a:r>
          <a:endParaRPr lang="en-US" sz="1100" b="1" kern="1200"/>
        </a:p>
        <a:p>
          <a:pPr marL="0" lvl="0" indent="0" algn="ctr" defTabSz="488950">
            <a:lnSpc>
              <a:spcPct val="90000"/>
            </a:lnSpc>
            <a:spcBef>
              <a:spcPct val="0"/>
            </a:spcBef>
            <a:spcAft>
              <a:spcPct val="35000"/>
            </a:spcAft>
            <a:buNone/>
          </a:pPr>
          <a:r>
            <a:rPr lang="el-GR" sz="1100" b="1" kern="1200"/>
            <a:t>Αναπτυξιακή προοπτική - Δομική αντιμετώπιση της ενεργειακής ένδειας: Δράσεις για τη βελτίωση της ενεργειακής απόδοσης και την αύξηση της χρήσης ΑΠΕ</a:t>
          </a:r>
          <a:endParaRPr lang="el-GR" sz="1100" kern="1200"/>
        </a:p>
      </dsp:txBody>
      <dsp:txXfrm>
        <a:off x="2011480" y="0"/>
        <a:ext cx="1870474" cy="1388297"/>
      </dsp:txXfrm>
    </dsp:sp>
    <dsp:sp modelId="{E809D37C-CB34-4718-8740-4C647515BBAE}">
      <dsp:nvSpPr>
        <dsp:cNvPr id="0" name=""/>
        <dsp:cNvSpPr/>
      </dsp:nvSpPr>
      <dsp:spPr>
        <a:xfrm>
          <a:off x="2198527" y="1388693"/>
          <a:ext cx="1496379" cy="90914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Αξιοποίηση του θεσμού Κοινοτήτων Ανανεώσιμης Ενέργειας και Κοινοτήτων Πολιτών για την αντιμετώπιση της ενεργειακής ένδειας</a:t>
          </a:r>
          <a:endParaRPr lang="el-GR" sz="800" kern="1200"/>
        </a:p>
      </dsp:txBody>
      <dsp:txXfrm>
        <a:off x="2225155" y="1415321"/>
        <a:ext cx="1443123" cy="855893"/>
      </dsp:txXfrm>
    </dsp:sp>
    <dsp:sp modelId="{0E664171-CE94-468A-BCCE-BC10CF6B38A3}">
      <dsp:nvSpPr>
        <dsp:cNvPr id="0" name=""/>
        <dsp:cNvSpPr/>
      </dsp:nvSpPr>
      <dsp:spPr>
        <a:xfrm>
          <a:off x="2198527" y="2437712"/>
          <a:ext cx="1496379" cy="90914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Ενεργειακή αναβάθμιση κτιρίων κατοικίας των πληττόμενων νοικοκυριών και προώθηση εγκατάστασης συστημάτων ΑΠΕ για την κάλυψη των ενεργειακών αναγκών τους</a:t>
          </a:r>
          <a:endParaRPr lang="el-GR" sz="800" kern="1200"/>
        </a:p>
      </dsp:txBody>
      <dsp:txXfrm>
        <a:off x="2225155" y="2464340"/>
        <a:ext cx="1443123" cy="855893"/>
      </dsp:txXfrm>
    </dsp:sp>
    <dsp:sp modelId="{62158DE6-B1B6-4A24-9814-8B2F41E14EF8}">
      <dsp:nvSpPr>
        <dsp:cNvPr id="0" name=""/>
        <dsp:cNvSpPr/>
      </dsp:nvSpPr>
      <dsp:spPr>
        <a:xfrm>
          <a:off x="2198527" y="3486730"/>
          <a:ext cx="1496379" cy="9091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Καινοτόμα χρηματοδοτικά εργαλεία για την υλοποίηση δράσεων βελτίωσης της ενεργειακής απόδοσης σε ενεργειακά φτωχά νοικοκυριά </a:t>
          </a:r>
          <a:endParaRPr lang="el-GR" sz="800" kern="1200"/>
        </a:p>
      </dsp:txBody>
      <dsp:txXfrm>
        <a:off x="2225155" y="3513358"/>
        <a:ext cx="1443123" cy="855893"/>
      </dsp:txXfrm>
    </dsp:sp>
    <dsp:sp modelId="{644D6786-134A-4412-8412-211295385ACC}">
      <dsp:nvSpPr>
        <dsp:cNvPr id="0" name=""/>
        <dsp:cNvSpPr/>
      </dsp:nvSpPr>
      <dsp:spPr>
        <a:xfrm>
          <a:off x="4022240" y="0"/>
          <a:ext cx="1870474" cy="462765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Διάσταση Ι</a:t>
          </a:r>
          <a:r>
            <a:rPr lang="en-US" sz="1100" b="1" kern="1200"/>
            <a:t>II</a:t>
          </a:r>
          <a:r>
            <a:rPr lang="el-GR" sz="1100" b="1" kern="1200"/>
            <a:t>: </a:t>
          </a:r>
          <a:endParaRPr lang="en-US" sz="1100" b="1" kern="1200"/>
        </a:p>
        <a:p>
          <a:pPr marL="0" lvl="0" indent="0" algn="ctr" defTabSz="488950">
            <a:lnSpc>
              <a:spcPct val="90000"/>
            </a:lnSpc>
            <a:spcBef>
              <a:spcPct val="0"/>
            </a:spcBef>
            <a:spcAft>
              <a:spcPct val="35000"/>
            </a:spcAft>
            <a:buNone/>
          </a:pPr>
          <a:r>
            <a:rPr lang="el-GR" sz="1100" b="1" kern="1200"/>
            <a:t>Δράσεις ενημέρωσης, εκπαίδευσης και συντονισμού</a:t>
          </a:r>
          <a:endParaRPr lang="el-GR" sz="1100" kern="1200"/>
        </a:p>
      </dsp:txBody>
      <dsp:txXfrm>
        <a:off x="4022240" y="0"/>
        <a:ext cx="1870474" cy="1388297"/>
      </dsp:txXfrm>
    </dsp:sp>
    <dsp:sp modelId="{97594D20-D06A-42C1-B2AD-C9CB9E8B236A}">
      <dsp:nvSpPr>
        <dsp:cNvPr id="0" name=""/>
        <dsp:cNvSpPr/>
      </dsp:nvSpPr>
      <dsp:spPr>
        <a:xfrm>
          <a:off x="4209288" y="1389653"/>
          <a:ext cx="1496379" cy="139530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Δράσεις Ενημέρωσης</a:t>
          </a:r>
        </a:p>
      </dsp:txBody>
      <dsp:txXfrm>
        <a:off x="4250155" y="1430520"/>
        <a:ext cx="1414645" cy="1313568"/>
      </dsp:txXfrm>
    </dsp:sp>
    <dsp:sp modelId="{CA9F981F-344A-434E-86A8-121119853E46}">
      <dsp:nvSpPr>
        <dsp:cNvPr id="0" name=""/>
        <dsp:cNvSpPr/>
      </dsp:nvSpPr>
      <dsp:spPr>
        <a:xfrm>
          <a:off x="4209288" y="2999617"/>
          <a:ext cx="1496379" cy="139530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l-GR" sz="800" b="1" kern="1200"/>
            <a:t>Ίδρυση Υπηρεσιών Μιας Στάσης</a:t>
          </a:r>
          <a:endParaRPr lang="el-GR" sz="800" kern="1200"/>
        </a:p>
      </dsp:txBody>
      <dsp:txXfrm>
        <a:off x="4250155" y="3040484"/>
        <a:ext cx="1414645" cy="131356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A3C132-BB89-4AB4-B870-2667B11D4A51}">
      <dsp:nvSpPr>
        <dsp:cNvPr id="0" name=""/>
        <dsp:cNvSpPr/>
      </dsp:nvSpPr>
      <dsp:spPr>
        <a:xfrm>
          <a:off x="685800" y="1041488"/>
          <a:ext cx="4114800" cy="2212798"/>
        </a:xfrm>
        <a:prstGeom prst="round2DiagRect">
          <a:avLst>
            <a:gd name="adj1" fmla="val 0"/>
            <a:gd name="adj2"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9FFBB8-28B8-46F1-8EC8-E28118F1413E}">
      <dsp:nvSpPr>
        <dsp:cNvPr id="0" name=""/>
        <dsp:cNvSpPr/>
      </dsp:nvSpPr>
      <dsp:spPr>
        <a:xfrm>
          <a:off x="2743200" y="1276178"/>
          <a:ext cx="548" cy="1743417"/>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187DA7-F65F-43ED-AF70-8048F2876CC0}">
      <dsp:nvSpPr>
        <dsp:cNvPr id="0" name=""/>
        <dsp:cNvSpPr/>
      </dsp:nvSpPr>
      <dsp:spPr>
        <a:xfrm>
          <a:off x="822960" y="1209124"/>
          <a:ext cx="1783080" cy="187752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solidFill>
                <a:schemeClr val="bg1"/>
              </a:solidFill>
            </a:rPr>
            <a:t>Διαδικασία ελέγχου συμμόρφωσης με τις Συνθήκες</a:t>
          </a:r>
          <a:r>
            <a:rPr lang="en-US" sz="1100" b="1" kern="1200">
              <a:solidFill>
                <a:schemeClr val="bg1"/>
              </a:solidFill>
            </a:rPr>
            <a:t> </a:t>
          </a:r>
          <a:r>
            <a:rPr lang="el-GR" sz="1100" b="1" kern="1200">
              <a:solidFill>
                <a:schemeClr val="bg1"/>
              </a:solidFill>
            </a:rPr>
            <a:t>του Δείκτη Ι-ΙΙ</a:t>
          </a:r>
          <a:r>
            <a:rPr lang="el-GR" sz="1100" b="1" kern="1200" baseline="-25000">
              <a:solidFill>
                <a:schemeClr val="bg1"/>
              </a:solidFill>
            </a:rPr>
            <a:t>2025</a:t>
          </a:r>
          <a:endParaRPr lang="en-US" sz="1100" b="1" kern="1200" baseline="-25000">
            <a:solidFill>
              <a:schemeClr val="bg1"/>
            </a:solidFill>
          </a:endParaRPr>
        </a:p>
      </dsp:txBody>
      <dsp:txXfrm>
        <a:off x="822960" y="1209124"/>
        <a:ext cx="1783080" cy="1877526"/>
      </dsp:txXfrm>
    </dsp:sp>
    <dsp:sp modelId="{8DE40588-22F3-4AFA-93C3-C5F76E4779AC}">
      <dsp:nvSpPr>
        <dsp:cNvPr id="0" name=""/>
        <dsp:cNvSpPr/>
      </dsp:nvSpPr>
      <dsp:spPr>
        <a:xfrm>
          <a:off x="2880360" y="1209124"/>
          <a:ext cx="1783080" cy="187752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solidFill>
                <a:schemeClr val="bg1"/>
              </a:solidFill>
            </a:rPr>
            <a:t>Εθνικό Παρατηρητήριο Ενεργειακής Ένδειας</a:t>
          </a:r>
          <a:endParaRPr lang="en-US" sz="1100" b="1" kern="1200">
            <a:solidFill>
              <a:schemeClr val="bg1"/>
            </a:solidFill>
          </a:endParaRPr>
        </a:p>
      </dsp:txBody>
      <dsp:txXfrm>
        <a:off x="2880360" y="1209124"/>
        <a:ext cx="1783080" cy="1877526"/>
      </dsp:txXfrm>
    </dsp:sp>
    <dsp:sp modelId="{C50C6AE7-3657-4C77-97E2-58DA6D23ABE8}">
      <dsp:nvSpPr>
        <dsp:cNvPr id="0" name=""/>
        <dsp:cNvSpPr/>
      </dsp:nvSpPr>
      <dsp:spPr>
        <a:xfrm rot="16200000">
          <a:off x="-864081" y="1335605"/>
          <a:ext cx="2413962" cy="685799"/>
        </a:xfrm>
        <a:prstGeom prst="rightArrow">
          <a:avLst>
            <a:gd name="adj1" fmla="val 49830"/>
            <a:gd name="adj2" fmla="val 6066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"από τη βάση στην κορυφή" παρακολούθηση</a:t>
          </a:r>
          <a:endParaRPr lang="en-US" sz="1100" b="1" kern="1200"/>
        </a:p>
      </dsp:txBody>
      <dsp:txXfrm>
        <a:off x="-760433" y="1611286"/>
        <a:ext cx="2206666" cy="341733"/>
      </dsp:txXfrm>
    </dsp:sp>
    <dsp:sp modelId="{EC32803D-F7F8-4227-B0A5-0EA35970985B}">
      <dsp:nvSpPr>
        <dsp:cNvPr id="0" name=""/>
        <dsp:cNvSpPr/>
      </dsp:nvSpPr>
      <dsp:spPr>
        <a:xfrm rot="5400000">
          <a:off x="3936518" y="2274369"/>
          <a:ext cx="2413962" cy="685799"/>
        </a:xfrm>
        <a:prstGeom prst="rightArrow">
          <a:avLst>
            <a:gd name="adj1" fmla="val 49830"/>
            <a:gd name="adj2" fmla="val 6066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b="1" kern="1200"/>
            <a:t>"από την κορυφή στη βάση" παρακολούθηση</a:t>
          </a:r>
          <a:endParaRPr lang="en-US" sz="1100" kern="1200"/>
        </a:p>
      </dsp:txBody>
      <dsp:txXfrm>
        <a:off x="4040166" y="2342754"/>
        <a:ext cx="2206666" cy="34173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11:25:53.120"/>
    </inkml:context>
    <inkml:brush xml:id="br0">
      <inkml:brushProperty name="width" value="0.035" units="cm"/>
      <inkml:brushProperty name="height" value="0.03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11:25:55.288"/>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7DEE-401D-4451-B513-AE48403A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11527</Words>
  <Characters>62246</Characters>
  <Application>Microsoft Office Word</Application>
  <DocSecurity>0</DocSecurity>
  <Lines>518</Lines>
  <Paragraphs>147</Paragraphs>
  <ScaleCrop>false</ScaleCrop>
  <Company/>
  <LinksUpToDate>false</LinksUpToDate>
  <CharactersWithSpaces>73626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2025-11-17T09:39:00Z</dcterms:created>
  <dcterms:modified xsi:type="dcterms:W3CDTF">2025-11-17T09:40:00Z</dcterms:modified>
</cp:coreProperties>
</file>